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AE" w:rsidRDefault="00142EAE" w:rsidP="00142EAE">
      <w:pPr>
        <w:ind w:right="1"/>
        <w:rPr>
          <w:b/>
          <w:bCs/>
        </w:rPr>
      </w:pPr>
    </w:p>
    <w:p w:rsidR="00142EAE" w:rsidRDefault="00142EAE" w:rsidP="00142EAE">
      <w:pPr>
        <w:ind w:right="1"/>
        <w:jc w:val="center"/>
        <w:rPr>
          <w:b/>
          <w:bCs/>
        </w:rPr>
      </w:pPr>
    </w:p>
    <w:p w:rsidR="00142EAE" w:rsidRDefault="00142EAE" w:rsidP="00142EAE">
      <w:pPr>
        <w:ind w:right="1"/>
        <w:jc w:val="center"/>
        <w:rPr>
          <w:b/>
          <w:bCs/>
        </w:rPr>
      </w:pPr>
      <w:r>
        <w:rPr>
          <w:noProof/>
        </w:rPr>
        <w:drawing>
          <wp:anchor distT="0" distB="0" distL="114300" distR="114300" simplePos="0" relativeHeight="251658240" behindDoc="0" locked="0" layoutInCell="1" allowOverlap="1">
            <wp:simplePos x="0" y="0"/>
            <wp:positionH relativeFrom="column">
              <wp:posOffset>167005</wp:posOffset>
            </wp:positionH>
            <wp:positionV relativeFrom="paragraph">
              <wp:posOffset>-243205</wp:posOffset>
            </wp:positionV>
            <wp:extent cx="799465" cy="967105"/>
            <wp:effectExtent l="19050" t="0" r="635" b="0"/>
            <wp:wrapNone/>
            <wp:docPr id="2" name="Resim 1" descr="Erzin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rzincan"/>
                    <pic:cNvPicPr>
                      <a:picLocks noChangeAspect="1" noChangeArrowheads="1"/>
                    </pic:cNvPicPr>
                  </pic:nvPicPr>
                  <pic:blipFill>
                    <a:blip r:embed="rId5" cstate="print"/>
                    <a:srcRect/>
                    <a:stretch>
                      <a:fillRect/>
                    </a:stretch>
                  </pic:blipFill>
                  <pic:spPr bwMode="auto">
                    <a:xfrm>
                      <a:off x="0" y="0"/>
                      <a:ext cx="799465" cy="967105"/>
                    </a:xfrm>
                    <a:prstGeom prst="rect">
                      <a:avLst/>
                    </a:prstGeom>
                    <a:noFill/>
                  </pic:spPr>
                </pic:pic>
              </a:graphicData>
            </a:graphic>
          </wp:anchor>
        </w:drawing>
      </w:r>
      <w:r>
        <w:rPr>
          <w:b/>
          <w:bCs/>
        </w:rPr>
        <w:t>T.C</w:t>
      </w:r>
    </w:p>
    <w:p w:rsidR="00142EAE" w:rsidRDefault="00142EAE" w:rsidP="00142EAE">
      <w:pPr>
        <w:ind w:right="1"/>
        <w:jc w:val="center"/>
        <w:rPr>
          <w:b/>
          <w:bCs/>
        </w:rPr>
      </w:pPr>
      <w:r>
        <w:rPr>
          <w:b/>
          <w:bCs/>
        </w:rPr>
        <w:t>ERZİNCAN ÜNİVERSİTESİ</w:t>
      </w:r>
      <w:r>
        <w:rPr>
          <w:b/>
          <w:bCs/>
        </w:rPr>
        <w:br/>
        <w:t>Sağlık Bilimleri Enstitüsü Müdürlüğü</w:t>
      </w:r>
    </w:p>
    <w:p w:rsidR="00142EAE" w:rsidRDefault="00142EAE" w:rsidP="00142EAE">
      <w:pPr>
        <w:ind w:right="1"/>
        <w:jc w:val="center"/>
        <w:rPr>
          <w:b/>
          <w:bCs/>
        </w:rPr>
      </w:pPr>
    </w:p>
    <w:p w:rsidR="00142EAE" w:rsidRDefault="00142EAE" w:rsidP="00142EAE">
      <w:pPr>
        <w:ind w:right="1"/>
        <w:jc w:val="center"/>
        <w:rPr>
          <w:b/>
          <w:bCs/>
        </w:rPr>
      </w:pPr>
    </w:p>
    <w:p w:rsidR="00142EAE" w:rsidRDefault="00142EAE" w:rsidP="00142EAE">
      <w:pPr>
        <w:ind w:right="1"/>
        <w:jc w:val="center"/>
        <w:rPr>
          <w:b/>
          <w:bCs/>
          <w:sz w:val="22"/>
          <w:szCs w:val="22"/>
        </w:rPr>
      </w:pPr>
    </w:p>
    <w:p w:rsidR="00142EAE" w:rsidRDefault="00142EAE" w:rsidP="00142EAE">
      <w:pPr>
        <w:ind w:right="1"/>
        <w:jc w:val="center"/>
        <w:rPr>
          <w:b/>
          <w:bCs/>
          <w:sz w:val="22"/>
          <w:szCs w:val="22"/>
        </w:rPr>
      </w:pPr>
      <w:r>
        <w:rPr>
          <w:b/>
          <w:bCs/>
          <w:sz w:val="22"/>
          <w:szCs w:val="22"/>
        </w:rPr>
        <w:t>2014–2015 EĞİTİM-ÖĞRETİM GÜZ YARIYILI LİSANSÜSTÜ PROGRAMLARINA AİT ÖĞRENCİ İLANI</w:t>
      </w:r>
    </w:p>
    <w:p w:rsidR="00142EAE" w:rsidRDefault="00142EAE" w:rsidP="00142EAE">
      <w:pPr>
        <w:ind w:right="1" w:firstLine="708"/>
        <w:jc w:val="center"/>
        <w:rPr>
          <w:b/>
          <w:bCs/>
          <w:sz w:val="22"/>
          <w:szCs w:val="22"/>
        </w:rPr>
      </w:pPr>
    </w:p>
    <w:p w:rsidR="00142EAE" w:rsidRDefault="00142EAE" w:rsidP="00142EAE">
      <w:pPr>
        <w:ind w:right="1" w:firstLine="708"/>
        <w:jc w:val="center"/>
        <w:rPr>
          <w:b/>
          <w:bCs/>
          <w:sz w:val="22"/>
          <w:szCs w:val="22"/>
        </w:rPr>
      </w:pPr>
    </w:p>
    <w:p w:rsidR="00142EAE" w:rsidRDefault="00142EAE" w:rsidP="00142EAE">
      <w:pPr>
        <w:ind w:right="1"/>
        <w:rPr>
          <w:b/>
          <w:bCs/>
          <w:sz w:val="22"/>
          <w:szCs w:val="22"/>
        </w:rPr>
      </w:pPr>
      <w:r>
        <w:rPr>
          <w:b/>
          <w:bCs/>
          <w:sz w:val="22"/>
          <w:szCs w:val="22"/>
        </w:rPr>
        <w:t xml:space="preserve">           YÜKSEK LİSANS PROGRAMLARINA AİT ÖĞRENCİ KONTENJANLARI</w:t>
      </w:r>
    </w:p>
    <w:p w:rsidR="00142EAE" w:rsidRDefault="00142EAE" w:rsidP="00142EAE">
      <w:pPr>
        <w:ind w:right="1" w:firstLine="708"/>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684"/>
        <w:gridCol w:w="1825"/>
        <w:gridCol w:w="4327"/>
      </w:tblGrid>
      <w:tr w:rsidR="00142EAE" w:rsidTr="00142EAE">
        <w:trPr>
          <w:trHeight w:val="769"/>
        </w:trPr>
        <w:tc>
          <w:tcPr>
            <w:tcW w:w="1452"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b/>
                <w:sz w:val="22"/>
                <w:szCs w:val="22"/>
              </w:rPr>
            </w:pPr>
          </w:p>
          <w:p w:rsidR="00142EAE" w:rsidRDefault="00142EAE">
            <w:pPr>
              <w:ind w:right="1"/>
              <w:jc w:val="center"/>
              <w:rPr>
                <w:b/>
                <w:bCs/>
                <w:sz w:val="22"/>
                <w:szCs w:val="22"/>
              </w:rPr>
            </w:pPr>
            <w:r>
              <w:rPr>
                <w:b/>
                <w:sz w:val="22"/>
                <w:szCs w:val="22"/>
              </w:rPr>
              <w:t>ANABİLİM DALI</w:t>
            </w:r>
          </w:p>
        </w:tc>
        <w:tc>
          <w:tcPr>
            <w:tcW w:w="1633"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b/>
                <w:sz w:val="22"/>
                <w:szCs w:val="22"/>
              </w:rPr>
            </w:pPr>
          </w:p>
          <w:p w:rsidR="00142EAE" w:rsidRDefault="00142EAE">
            <w:pPr>
              <w:ind w:right="1"/>
              <w:jc w:val="center"/>
              <w:rPr>
                <w:b/>
                <w:bCs/>
                <w:sz w:val="22"/>
                <w:szCs w:val="22"/>
              </w:rPr>
            </w:pPr>
            <w:r>
              <w:rPr>
                <w:b/>
                <w:sz w:val="22"/>
                <w:szCs w:val="22"/>
              </w:rPr>
              <w:t>KONTENJANI</w:t>
            </w:r>
          </w:p>
        </w:tc>
        <w:tc>
          <w:tcPr>
            <w:tcW w:w="1843" w:type="dxa"/>
            <w:tcBorders>
              <w:top w:val="single" w:sz="4" w:space="0" w:color="auto"/>
              <w:left w:val="single" w:sz="4" w:space="0" w:color="auto"/>
              <w:bottom w:val="single" w:sz="4" w:space="0" w:color="auto"/>
              <w:right w:val="single" w:sz="4" w:space="0" w:color="auto"/>
            </w:tcBorders>
            <w:hideMark/>
          </w:tcPr>
          <w:p w:rsidR="00142EAE" w:rsidRDefault="00142EAE">
            <w:pPr>
              <w:ind w:right="1"/>
              <w:jc w:val="center"/>
              <w:rPr>
                <w:b/>
                <w:sz w:val="22"/>
                <w:szCs w:val="22"/>
              </w:rPr>
            </w:pPr>
            <w:r>
              <w:rPr>
                <w:b/>
                <w:sz w:val="22"/>
                <w:szCs w:val="22"/>
              </w:rPr>
              <w:t xml:space="preserve">UNİP </w:t>
            </w:r>
          </w:p>
          <w:p w:rsidR="00142EAE" w:rsidRDefault="00142EAE">
            <w:pPr>
              <w:ind w:right="1"/>
              <w:jc w:val="center"/>
              <w:rPr>
                <w:b/>
                <w:bCs/>
                <w:sz w:val="22"/>
                <w:szCs w:val="22"/>
              </w:rPr>
            </w:pPr>
            <w:r>
              <w:rPr>
                <w:b/>
                <w:sz w:val="22"/>
                <w:szCs w:val="22"/>
              </w:rPr>
              <w:t>KONTENJANI</w:t>
            </w:r>
          </w:p>
        </w:tc>
        <w:tc>
          <w:tcPr>
            <w:tcW w:w="4604" w:type="dxa"/>
            <w:tcBorders>
              <w:top w:val="single" w:sz="4" w:space="0" w:color="auto"/>
              <w:left w:val="single" w:sz="4" w:space="0" w:color="auto"/>
              <w:bottom w:val="single" w:sz="4" w:space="0" w:color="auto"/>
              <w:right w:val="single" w:sz="4" w:space="0" w:color="auto"/>
            </w:tcBorders>
            <w:hideMark/>
          </w:tcPr>
          <w:p w:rsidR="00142EAE" w:rsidRDefault="00142EAE">
            <w:pPr>
              <w:ind w:right="1"/>
              <w:jc w:val="center"/>
              <w:rPr>
                <w:b/>
                <w:sz w:val="22"/>
                <w:szCs w:val="22"/>
              </w:rPr>
            </w:pPr>
            <w:r>
              <w:rPr>
                <w:b/>
                <w:sz w:val="22"/>
                <w:szCs w:val="22"/>
              </w:rPr>
              <w:t>MÜRACAAT KOŞULLARI VE DEĞERLENDİRME</w:t>
            </w:r>
          </w:p>
        </w:tc>
      </w:tr>
      <w:tr w:rsidR="00142EAE" w:rsidTr="00142EAE">
        <w:tc>
          <w:tcPr>
            <w:tcW w:w="1452"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sz w:val="22"/>
                <w:szCs w:val="22"/>
              </w:rPr>
            </w:pPr>
          </w:p>
          <w:p w:rsidR="00142EAE" w:rsidRDefault="00142EAE">
            <w:pPr>
              <w:ind w:right="1"/>
              <w:jc w:val="center"/>
              <w:rPr>
                <w:sz w:val="22"/>
                <w:szCs w:val="22"/>
              </w:rPr>
            </w:pPr>
          </w:p>
          <w:p w:rsidR="00142EAE" w:rsidRDefault="00142EAE">
            <w:pPr>
              <w:ind w:right="1"/>
              <w:jc w:val="center"/>
              <w:rPr>
                <w:sz w:val="22"/>
                <w:szCs w:val="22"/>
              </w:rPr>
            </w:pPr>
          </w:p>
          <w:p w:rsidR="00142EAE" w:rsidRDefault="00142EAE">
            <w:pPr>
              <w:ind w:right="1"/>
              <w:rPr>
                <w:sz w:val="22"/>
                <w:szCs w:val="22"/>
              </w:rPr>
            </w:pPr>
          </w:p>
          <w:p w:rsidR="00142EAE" w:rsidRDefault="00142EAE">
            <w:pPr>
              <w:ind w:right="1"/>
              <w:jc w:val="center"/>
              <w:rPr>
                <w:b/>
                <w:bCs/>
                <w:sz w:val="22"/>
                <w:szCs w:val="22"/>
              </w:rPr>
            </w:pPr>
            <w:r>
              <w:rPr>
                <w:sz w:val="22"/>
                <w:szCs w:val="22"/>
              </w:rPr>
              <w:t>Tıbbı Mikrobiyoloji</w:t>
            </w:r>
          </w:p>
        </w:tc>
        <w:tc>
          <w:tcPr>
            <w:tcW w:w="1633"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r>
              <w:rPr>
                <w:b/>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r>
              <w:rPr>
                <w:b/>
                <w:sz w:val="22"/>
                <w:szCs w:val="22"/>
              </w:rPr>
              <w:t>-</w:t>
            </w:r>
          </w:p>
        </w:tc>
        <w:tc>
          <w:tcPr>
            <w:tcW w:w="4604" w:type="dxa"/>
            <w:tcBorders>
              <w:top w:val="single" w:sz="4" w:space="0" w:color="auto"/>
              <w:left w:val="single" w:sz="4" w:space="0" w:color="auto"/>
              <w:bottom w:val="single" w:sz="4" w:space="0" w:color="auto"/>
              <w:right w:val="single" w:sz="4" w:space="0" w:color="auto"/>
            </w:tcBorders>
            <w:hideMark/>
          </w:tcPr>
          <w:p w:rsidR="00142EAE" w:rsidRDefault="00142EAE">
            <w:pPr>
              <w:ind w:right="1"/>
              <w:jc w:val="both"/>
              <w:rPr>
                <w:b/>
                <w:sz w:val="22"/>
                <w:szCs w:val="22"/>
              </w:rPr>
            </w:pPr>
            <w:r>
              <w:rPr>
                <w:sz w:val="22"/>
                <w:szCs w:val="22"/>
              </w:rPr>
              <w:t>Tıp Fakültesi, Diş Hekimliği Fakültesi, Veteriner Fakültesi, Eczacılık Fakültesi, Sağlık Bilimleri Fakültesi, Fen veya Fen-Edebiyat Fakültesi Biyoloji veya Moleküler Biyoloji Bölümü ve Sağlık Yüksek Okulu mezunu olan öğrenciler başvurabilir. Öğrenci kabulünde ALES ilgili alan puanının %50’si, lisans not ortalamasının %30’u, mülakat sınavının %20’si toplanarak not ortalamasına göre sıralama yapılacaktır.</w:t>
            </w:r>
          </w:p>
        </w:tc>
      </w:tr>
      <w:tr w:rsidR="00142EAE" w:rsidTr="00142EAE">
        <w:trPr>
          <w:trHeight w:val="2415"/>
        </w:trPr>
        <w:tc>
          <w:tcPr>
            <w:tcW w:w="1452" w:type="dxa"/>
            <w:tcBorders>
              <w:top w:val="single" w:sz="4" w:space="0" w:color="auto"/>
              <w:left w:val="single" w:sz="4" w:space="0" w:color="auto"/>
              <w:bottom w:val="single" w:sz="4" w:space="0" w:color="auto"/>
              <w:right w:val="single" w:sz="4" w:space="0" w:color="auto"/>
            </w:tcBorders>
            <w:vAlign w:val="center"/>
            <w:hideMark/>
          </w:tcPr>
          <w:p w:rsidR="00142EAE" w:rsidRDefault="00142EAE">
            <w:pPr>
              <w:ind w:right="1"/>
              <w:rPr>
                <w:sz w:val="22"/>
                <w:szCs w:val="22"/>
              </w:rPr>
            </w:pPr>
            <w:r>
              <w:rPr>
                <w:sz w:val="22"/>
                <w:szCs w:val="22"/>
              </w:rPr>
              <w:t>Hemşirelik</w:t>
            </w:r>
          </w:p>
        </w:tc>
        <w:tc>
          <w:tcPr>
            <w:tcW w:w="1633"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r>
              <w:rPr>
                <w:b/>
                <w:sz w:val="22"/>
                <w:szCs w:val="22"/>
              </w:rPr>
              <w:t>10</w:t>
            </w:r>
          </w:p>
        </w:tc>
        <w:tc>
          <w:tcPr>
            <w:tcW w:w="1843"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r>
              <w:rPr>
                <w:b/>
                <w:sz w:val="22"/>
                <w:szCs w:val="22"/>
              </w:rPr>
              <w:t>2</w:t>
            </w:r>
          </w:p>
        </w:tc>
        <w:tc>
          <w:tcPr>
            <w:tcW w:w="4604" w:type="dxa"/>
            <w:tcBorders>
              <w:top w:val="single" w:sz="4" w:space="0" w:color="auto"/>
              <w:left w:val="single" w:sz="4" w:space="0" w:color="auto"/>
              <w:bottom w:val="single" w:sz="4" w:space="0" w:color="auto"/>
              <w:right w:val="single" w:sz="4" w:space="0" w:color="auto"/>
            </w:tcBorders>
            <w:hideMark/>
          </w:tcPr>
          <w:p w:rsidR="00142EAE" w:rsidRDefault="00142EAE">
            <w:pPr>
              <w:jc w:val="both"/>
            </w:pPr>
            <w:proofErr w:type="gramStart"/>
            <w:r>
              <w:rPr>
                <w:sz w:val="22"/>
                <w:szCs w:val="22"/>
              </w:rPr>
              <w:t xml:space="preserve">Hemşirelik Fakültesi, Sağlık Bilimleri Fakültesi Hemşirelik, Sağlık Yüksekokulu Hemşirelik ve Sağlık Memurluğu ve Hemşirelik Yüksekokulu mezunu olmak. </w:t>
            </w:r>
            <w:proofErr w:type="gramEnd"/>
            <w:r>
              <w:t>Öğrenci kabulünde ALES puanının %60’ı lisans not ortalamasının %40’ı alınarak toplanır, not ortalamasına göre sıralama yapılır. Puanların eşit olması durumunda ALES puanı yüksek olan adaya öncelik tanınır.</w:t>
            </w:r>
          </w:p>
        </w:tc>
      </w:tr>
    </w:tbl>
    <w:p w:rsidR="00142EAE" w:rsidRDefault="00142EAE" w:rsidP="00142EAE">
      <w:pPr>
        <w:jc w:val="both"/>
        <w:rPr>
          <w:sz w:val="22"/>
          <w:szCs w:val="22"/>
        </w:rPr>
      </w:pPr>
    </w:p>
    <w:p w:rsidR="00142EAE" w:rsidRDefault="00142EAE" w:rsidP="00142EAE">
      <w:pPr>
        <w:jc w:val="both"/>
        <w:rPr>
          <w:sz w:val="22"/>
          <w:szCs w:val="22"/>
        </w:rPr>
      </w:pPr>
    </w:p>
    <w:p w:rsidR="00142EAE" w:rsidRDefault="00142EAE" w:rsidP="00142EAE">
      <w:pPr>
        <w:ind w:right="1" w:firstLine="708"/>
        <w:jc w:val="center"/>
        <w:rPr>
          <w:b/>
          <w:bCs/>
          <w:sz w:val="22"/>
          <w:szCs w:val="22"/>
        </w:rPr>
      </w:pPr>
      <w:r>
        <w:rPr>
          <w:b/>
          <w:bCs/>
          <w:sz w:val="22"/>
          <w:szCs w:val="22"/>
        </w:rPr>
        <w:t>YÜKSEK LİSANS PROGRAMI KABUL KOŞULLARI VE BAŞVURULARIN DEĞERLENDİRİLMESİ</w:t>
      </w:r>
    </w:p>
    <w:p w:rsidR="00142EAE" w:rsidRDefault="00142EAE" w:rsidP="00142EAE">
      <w:pPr>
        <w:ind w:right="1" w:firstLine="708"/>
        <w:jc w:val="center"/>
        <w:rPr>
          <w:b/>
          <w:bCs/>
          <w:sz w:val="22"/>
          <w:szCs w:val="22"/>
        </w:rPr>
      </w:pPr>
    </w:p>
    <w:p w:rsidR="00142EAE" w:rsidRDefault="00142EAE" w:rsidP="00142EAE">
      <w:pPr>
        <w:ind w:right="1" w:firstLine="708"/>
        <w:jc w:val="center"/>
      </w:pPr>
    </w:p>
    <w:p w:rsidR="00142EAE" w:rsidRDefault="00142EAE" w:rsidP="00142EAE">
      <w:pPr>
        <w:ind w:firstLine="708"/>
        <w:jc w:val="both"/>
      </w:pPr>
      <w:r>
        <w:t>Akademik Personel ve Lisansüstü Eğitimi Giriş Sınavı (ALES) puan türünde en az 55 puanı olanlar müracaat edebilir.(ALES sınavının geçerlilik süresi 3 yıldır.)</w:t>
      </w:r>
    </w:p>
    <w:p w:rsidR="00142EAE" w:rsidRDefault="00142EAE" w:rsidP="00142EAE">
      <w:pPr>
        <w:ind w:firstLine="708"/>
        <w:jc w:val="both"/>
      </w:pPr>
    </w:p>
    <w:p w:rsidR="00142EAE" w:rsidRDefault="00142EAE" w:rsidP="00142EAE">
      <w:pPr>
        <w:jc w:val="both"/>
      </w:pPr>
      <w:r>
        <w:t xml:space="preserve">           Tezli Yüksek lisans programına </w:t>
      </w:r>
      <w:r>
        <w:rPr>
          <w:b/>
        </w:rPr>
        <w:t>ALES sayısal puan</w:t>
      </w:r>
      <w:r>
        <w:t xml:space="preserve"> türünde öğrenci alınacaktır.</w:t>
      </w:r>
    </w:p>
    <w:p w:rsidR="00142EAE" w:rsidRDefault="00142EAE" w:rsidP="00142EAE">
      <w:pPr>
        <w:jc w:val="both"/>
      </w:pPr>
    </w:p>
    <w:p w:rsidR="00142EAE" w:rsidRDefault="00142EAE" w:rsidP="00142EAE">
      <w:pPr>
        <w:jc w:val="both"/>
      </w:pPr>
      <w:r>
        <w:t xml:space="preserve">             Mezuniyet not ortalamalarının 4’lük sistemden 100’lük sisteme dönüştürülmesinde Yükseköğretim Kurulu’ </w:t>
      </w:r>
      <w:proofErr w:type="spellStart"/>
      <w:r>
        <w:t>nun</w:t>
      </w:r>
      <w:proofErr w:type="spellEnd"/>
      <w:r>
        <w:t xml:space="preserve"> kabul ettiği dönüşüm tablosu esas alınacaktır.</w:t>
      </w:r>
    </w:p>
    <w:p w:rsidR="00142EAE" w:rsidRDefault="00142EAE" w:rsidP="00142EAE">
      <w:pPr>
        <w:jc w:val="both"/>
      </w:pPr>
    </w:p>
    <w:p w:rsidR="00142EAE" w:rsidRDefault="00142EAE" w:rsidP="00142EAE">
      <w:pPr>
        <w:jc w:val="both"/>
      </w:pPr>
    </w:p>
    <w:p w:rsidR="00142EAE" w:rsidRDefault="00142EAE" w:rsidP="00142EAE">
      <w:pPr>
        <w:jc w:val="both"/>
      </w:pPr>
    </w:p>
    <w:p w:rsidR="00142EAE" w:rsidRDefault="00142EAE" w:rsidP="00142EAE">
      <w:pPr>
        <w:ind w:right="1"/>
      </w:pPr>
      <w:r>
        <w:rPr>
          <w:b/>
          <w:bCs/>
          <w:sz w:val="22"/>
          <w:szCs w:val="22"/>
        </w:rPr>
        <w:t xml:space="preserve">                              DOKTORA PROGRAMINA AİT ÖĞRENCİ KONTENJANI</w:t>
      </w:r>
      <w:r>
        <w:tab/>
      </w:r>
    </w:p>
    <w:p w:rsidR="00142EAE" w:rsidRDefault="00142EAE" w:rsidP="00142EAE">
      <w:pPr>
        <w:ind w:right="1"/>
        <w:jc w:val="center"/>
        <w:rPr>
          <w:b/>
          <w:bCs/>
          <w:sz w:val="22"/>
          <w:szCs w:val="22"/>
        </w:rPr>
      </w:pPr>
      <w:r>
        <w:tab/>
      </w:r>
      <w:r>
        <w:tab/>
      </w:r>
      <w:r>
        <w:tab/>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1632"/>
        <w:gridCol w:w="1734"/>
        <w:gridCol w:w="4783"/>
      </w:tblGrid>
      <w:tr w:rsidR="00142EAE" w:rsidTr="00142EAE">
        <w:trPr>
          <w:trHeight w:val="769"/>
        </w:trPr>
        <w:tc>
          <w:tcPr>
            <w:tcW w:w="1452"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b/>
                <w:sz w:val="20"/>
                <w:szCs w:val="20"/>
              </w:rPr>
            </w:pPr>
          </w:p>
          <w:p w:rsidR="00142EAE" w:rsidRDefault="00142EAE">
            <w:pPr>
              <w:ind w:right="1"/>
              <w:jc w:val="center"/>
              <w:rPr>
                <w:b/>
                <w:bCs/>
                <w:sz w:val="20"/>
                <w:szCs w:val="20"/>
              </w:rPr>
            </w:pPr>
            <w:r>
              <w:rPr>
                <w:b/>
                <w:sz w:val="20"/>
                <w:szCs w:val="20"/>
              </w:rPr>
              <w:t>ANABİLİM DALI</w:t>
            </w:r>
          </w:p>
        </w:tc>
        <w:tc>
          <w:tcPr>
            <w:tcW w:w="1633"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b/>
                <w:sz w:val="20"/>
                <w:szCs w:val="20"/>
              </w:rPr>
            </w:pPr>
          </w:p>
          <w:p w:rsidR="00142EAE" w:rsidRDefault="00142EAE">
            <w:pPr>
              <w:ind w:right="1"/>
              <w:jc w:val="center"/>
              <w:rPr>
                <w:b/>
                <w:bCs/>
                <w:sz w:val="20"/>
                <w:szCs w:val="20"/>
              </w:rPr>
            </w:pPr>
            <w:r>
              <w:rPr>
                <w:b/>
                <w:sz w:val="20"/>
                <w:szCs w:val="20"/>
              </w:rPr>
              <w:t>KONTENJANI</w:t>
            </w:r>
          </w:p>
        </w:tc>
        <w:tc>
          <w:tcPr>
            <w:tcW w:w="1735" w:type="dxa"/>
            <w:tcBorders>
              <w:top w:val="single" w:sz="4" w:space="0" w:color="auto"/>
              <w:left w:val="single" w:sz="4" w:space="0" w:color="auto"/>
              <w:bottom w:val="single" w:sz="4" w:space="0" w:color="auto"/>
              <w:right w:val="single" w:sz="4" w:space="0" w:color="auto"/>
            </w:tcBorders>
            <w:hideMark/>
          </w:tcPr>
          <w:p w:rsidR="00142EAE" w:rsidRDefault="00142EAE">
            <w:pPr>
              <w:ind w:right="1"/>
              <w:jc w:val="center"/>
              <w:rPr>
                <w:b/>
                <w:sz w:val="20"/>
                <w:szCs w:val="20"/>
              </w:rPr>
            </w:pPr>
            <w:r>
              <w:rPr>
                <w:b/>
                <w:sz w:val="20"/>
                <w:szCs w:val="20"/>
              </w:rPr>
              <w:t xml:space="preserve">UNİP </w:t>
            </w:r>
          </w:p>
          <w:p w:rsidR="00142EAE" w:rsidRDefault="00142EAE">
            <w:pPr>
              <w:ind w:right="1"/>
              <w:jc w:val="center"/>
              <w:rPr>
                <w:b/>
                <w:bCs/>
                <w:sz w:val="20"/>
                <w:szCs w:val="20"/>
              </w:rPr>
            </w:pPr>
            <w:r>
              <w:rPr>
                <w:b/>
                <w:sz w:val="20"/>
                <w:szCs w:val="20"/>
              </w:rPr>
              <w:t xml:space="preserve">KONTENJANI </w:t>
            </w:r>
          </w:p>
        </w:tc>
        <w:tc>
          <w:tcPr>
            <w:tcW w:w="4786"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b/>
                <w:sz w:val="20"/>
                <w:szCs w:val="20"/>
              </w:rPr>
            </w:pPr>
            <w:r>
              <w:rPr>
                <w:b/>
                <w:sz w:val="20"/>
                <w:szCs w:val="20"/>
              </w:rPr>
              <w:t>MÜRACAAT KOŞULLARI VE DEĞERLENDİRME</w:t>
            </w:r>
          </w:p>
          <w:p w:rsidR="00142EAE" w:rsidRDefault="00142EAE">
            <w:pPr>
              <w:ind w:right="1"/>
              <w:rPr>
                <w:b/>
                <w:sz w:val="20"/>
                <w:szCs w:val="20"/>
              </w:rPr>
            </w:pPr>
          </w:p>
        </w:tc>
      </w:tr>
      <w:tr w:rsidR="00142EAE" w:rsidTr="00142EAE">
        <w:tc>
          <w:tcPr>
            <w:tcW w:w="1452"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sz w:val="22"/>
                <w:szCs w:val="22"/>
              </w:rPr>
            </w:pPr>
          </w:p>
          <w:p w:rsidR="00142EAE" w:rsidRDefault="00142EAE">
            <w:pPr>
              <w:ind w:right="1"/>
              <w:jc w:val="center"/>
              <w:rPr>
                <w:sz w:val="22"/>
                <w:szCs w:val="22"/>
              </w:rPr>
            </w:pPr>
          </w:p>
          <w:p w:rsidR="00142EAE" w:rsidRDefault="00142EAE">
            <w:pPr>
              <w:ind w:right="1"/>
              <w:jc w:val="center"/>
              <w:rPr>
                <w:sz w:val="22"/>
                <w:szCs w:val="22"/>
              </w:rPr>
            </w:pPr>
          </w:p>
          <w:p w:rsidR="00142EAE" w:rsidRDefault="00142EAE">
            <w:pPr>
              <w:ind w:right="1"/>
              <w:jc w:val="center"/>
              <w:rPr>
                <w:sz w:val="22"/>
                <w:szCs w:val="22"/>
              </w:rPr>
            </w:pPr>
          </w:p>
          <w:p w:rsidR="00142EAE" w:rsidRDefault="00142EAE">
            <w:pPr>
              <w:ind w:right="1"/>
              <w:jc w:val="center"/>
              <w:rPr>
                <w:sz w:val="22"/>
                <w:szCs w:val="22"/>
              </w:rPr>
            </w:pPr>
          </w:p>
          <w:p w:rsidR="00142EAE" w:rsidRDefault="00142EAE">
            <w:pPr>
              <w:ind w:right="1"/>
              <w:jc w:val="center"/>
              <w:rPr>
                <w:b/>
                <w:bCs/>
                <w:sz w:val="22"/>
                <w:szCs w:val="22"/>
              </w:rPr>
            </w:pPr>
            <w:r>
              <w:rPr>
                <w:sz w:val="22"/>
                <w:szCs w:val="22"/>
              </w:rPr>
              <w:t>Tıbbı Mikrobiyoloji</w:t>
            </w:r>
          </w:p>
        </w:tc>
        <w:tc>
          <w:tcPr>
            <w:tcW w:w="1633"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r>
              <w:rPr>
                <w:b/>
                <w:sz w:val="22"/>
                <w:szCs w:val="22"/>
              </w:rPr>
              <w:t>1</w:t>
            </w:r>
          </w:p>
        </w:tc>
        <w:tc>
          <w:tcPr>
            <w:tcW w:w="1735" w:type="dxa"/>
            <w:tcBorders>
              <w:top w:val="single" w:sz="4" w:space="0" w:color="auto"/>
              <w:left w:val="single" w:sz="4" w:space="0" w:color="auto"/>
              <w:bottom w:val="single" w:sz="4" w:space="0" w:color="auto"/>
              <w:right w:val="single" w:sz="4" w:space="0" w:color="auto"/>
            </w:tcBorders>
          </w:tcPr>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p>
          <w:p w:rsidR="00142EAE" w:rsidRDefault="00142EAE">
            <w:pPr>
              <w:ind w:right="1"/>
              <w:jc w:val="center"/>
              <w:rPr>
                <w:b/>
                <w:sz w:val="22"/>
                <w:szCs w:val="22"/>
              </w:rPr>
            </w:pPr>
            <w:r>
              <w:rPr>
                <w:b/>
                <w:sz w:val="22"/>
                <w:szCs w:val="22"/>
              </w:rPr>
              <w:t>-</w:t>
            </w:r>
          </w:p>
        </w:tc>
        <w:tc>
          <w:tcPr>
            <w:tcW w:w="4786" w:type="dxa"/>
            <w:tcBorders>
              <w:top w:val="single" w:sz="4" w:space="0" w:color="auto"/>
              <w:left w:val="single" w:sz="4" w:space="0" w:color="auto"/>
              <w:bottom w:val="single" w:sz="4" w:space="0" w:color="auto"/>
              <w:right w:val="single" w:sz="4" w:space="0" w:color="auto"/>
            </w:tcBorders>
          </w:tcPr>
          <w:p w:rsidR="00142EAE" w:rsidRDefault="00142EAE">
            <w:pPr>
              <w:spacing w:line="240" w:lineRule="exact"/>
              <w:jc w:val="both"/>
              <w:rPr>
                <w:sz w:val="20"/>
                <w:szCs w:val="20"/>
              </w:rPr>
            </w:pPr>
            <w:proofErr w:type="gramStart"/>
            <w:r>
              <w:rPr>
                <w:rFonts w:eastAsia="ヒラギノ明朝 Pro W3"/>
                <w:sz w:val="20"/>
                <w:szCs w:val="20"/>
                <w:lang w:eastAsia="en-US"/>
              </w:rPr>
              <w:t xml:space="preserve">Doktora programına başvurabilmek için adayların bir lisans veya tezli yüksek lisans diplomasına, hazırlık sınıfları hariç en az on yarıyıl süreli Tıp, Diş Hekimliği ve Veteriner Fakülteleri diplomasına, Eczacılık ve Fen Fakültesi lisans veya yüksek lisans derecesine veya Sağlık Bakanlığınca düzenlenen esaslara göre bir </w:t>
            </w:r>
            <w:proofErr w:type="spellStart"/>
            <w:r>
              <w:rPr>
                <w:rFonts w:eastAsia="ヒラギノ明朝 Pro W3"/>
                <w:sz w:val="20"/>
                <w:szCs w:val="20"/>
                <w:lang w:eastAsia="en-US"/>
              </w:rPr>
              <w:t>laboratuvar</w:t>
            </w:r>
            <w:proofErr w:type="spellEnd"/>
            <w:r>
              <w:rPr>
                <w:rFonts w:eastAsia="ヒラギノ明朝 Pro W3"/>
                <w:sz w:val="20"/>
                <w:szCs w:val="20"/>
                <w:lang w:eastAsia="en-US"/>
              </w:rPr>
              <w:t xml:space="preserve"> dalında kazanılan uzmanlık yetkisine sahip olmaları ve </w:t>
            </w:r>
            <w:proofErr w:type="spellStart"/>
            <w:r>
              <w:rPr>
                <w:rFonts w:eastAsia="ヒラギノ明朝 Pro W3"/>
                <w:sz w:val="20"/>
                <w:szCs w:val="20"/>
                <w:lang w:eastAsia="en-US"/>
              </w:rPr>
              <w:t>ALES’den</w:t>
            </w:r>
            <w:proofErr w:type="spellEnd"/>
            <w:r>
              <w:rPr>
                <w:rFonts w:eastAsia="ヒラギノ明朝 Pro W3"/>
                <w:sz w:val="20"/>
                <w:szCs w:val="20"/>
                <w:lang w:eastAsia="en-US"/>
              </w:rPr>
              <w:t xml:space="preserve"> başvurduğu programın puan türünde en az 55, lisans diplomasıyla başvuranların en az 85 ALES standart puanına sahip olmaları gerekir. </w:t>
            </w:r>
            <w:proofErr w:type="gramEnd"/>
            <w:r>
              <w:rPr>
                <w:rFonts w:eastAsia="ヒラギノ明朝 Pro W3"/>
                <w:sz w:val="20"/>
                <w:szCs w:val="20"/>
                <w:lang w:eastAsia="en-US"/>
              </w:rPr>
              <w:t>Ö</w:t>
            </w:r>
            <w:r>
              <w:rPr>
                <w:sz w:val="20"/>
                <w:szCs w:val="20"/>
              </w:rPr>
              <w:t>ğrenci kabulünde ALES ilgili alan puanının %50’si, lisans not ortalamasının %30’u, mülakat sınavının %20’si toplanarak not ortalamasına göre sıralama yapılacaktır. Lisans derecesiyle doktora programına başvuranların lisans mezuniyet not ortalamalarının 4 üzerinden en az 3 veya muadili bir puana sahip olmaları gerekmektedir.</w:t>
            </w:r>
          </w:p>
          <w:p w:rsidR="00142EAE" w:rsidRDefault="00142EAE">
            <w:pPr>
              <w:spacing w:line="240" w:lineRule="exact"/>
              <w:jc w:val="both"/>
              <w:rPr>
                <w:rFonts w:eastAsia="ヒラギノ明朝 Pro W3"/>
                <w:sz w:val="20"/>
                <w:szCs w:val="20"/>
                <w:lang w:eastAsia="en-US"/>
              </w:rPr>
            </w:pPr>
          </w:p>
          <w:p w:rsidR="00142EAE" w:rsidRDefault="00142EAE">
            <w:pPr>
              <w:ind w:right="1"/>
              <w:jc w:val="both"/>
              <w:rPr>
                <w:b/>
                <w:sz w:val="20"/>
                <w:szCs w:val="20"/>
              </w:rPr>
            </w:pPr>
          </w:p>
        </w:tc>
      </w:tr>
    </w:tbl>
    <w:p w:rsidR="00142EAE" w:rsidRDefault="00142EAE" w:rsidP="00142EAE">
      <w:pPr>
        <w:ind w:right="1" w:firstLine="708"/>
        <w:jc w:val="center"/>
        <w:rPr>
          <w:sz w:val="22"/>
          <w:szCs w:val="22"/>
        </w:rPr>
      </w:pPr>
      <w:r>
        <w:rPr>
          <w:sz w:val="22"/>
          <w:szCs w:val="22"/>
        </w:rPr>
        <w:t xml:space="preserve">          </w:t>
      </w:r>
    </w:p>
    <w:p w:rsidR="00142EAE" w:rsidRDefault="00142EAE" w:rsidP="00142EAE">
      <w:pPr>
        <w:ind w:right="1" w:firstLine="708"/>
        <w:jc w:val="center"/>
      </w:pPr>
      <w:r>
        <w:rPr>
          <w:b/>
          <w:sz w:val="22"/>
          <w:szCs w:val="22"/>
        </w:rPr>
        <w:t>DOKTORA</w:t>
      </w:r>
      <w:r>
        <w:rPr>
          <w:b/>
          <w:bCs/>
          <w:sz w:val="22"/>
          <w:szCs w:val="22"/>
        </w:rPr>
        <w:t xml:space="preserve"> PROGRAMI KABUL KOŞULLARI VE BAŞVURULARIN DEĞERLENDİRİLMESİ</w:t>
      </w:r>
    </w:p>
    <w:p w:rsidR="00142EAE" w:rsidRDefault="00142EAE" w:rsidP="00142EAE">
      <w:pPr>
        <w:jc w:val="both"/>
        <w:rPr>
          <w:sz w:val="22"/>
          <w:szCs w:val="22"/>
        </w:rPr>
      </w:pPr>
      <w:r>
        <w:rPr>
          <w:sz w:val="22"/>
          <w:szCs w:val="22"/>
        </w:rPr>
        <w:t xml:space="preserve">        </w:t>
      </w:r>
    </w:p>
    <w:p w:rsidR="00142EAE" w:rsidRDefault="00142EAE" w:rsidP="00142EAE">
      <w:pPr>
        <w:ind w:firstLine="708"/>
        <w:jc w:val="both"/>
      </w:pPr>
      <w:r>
        <w:t>Akademik Personel ve Lisansüstü Eğitimi Giriş Sınavı (ALES) puan türünde en az 55 puanı olanlar müracaat edebilir. (ALES sınavının geçerlilik süresi 3 yıldır.)</w:t>
      </w:r>
    </w:p>
    <w:p w:rsidR="00142EAE" w:rsidRDefault="00142EAE" w:rsidP="00142EAE">
      <w:pPr>
        <w:ind w:firstLine="708"/>
        <w:jc w:val="both"/>
      </w:pPr>
      <w:r>
        <w:t xml:space="preserve">   </w:t>
      </w:r>
    </w:p>
    <w:p w:rsidR="00142EAE" w:rsidRDefault="00142EAE" w:rsidP="00142EAE">
      <w:pPr>
        <w:jc w:val="both"/>
      </w:pPr>
      <w:r>
        <w:t xml:space="preserve">         Tezli Doktora programına </w:t>
      </w:r>
      <w:r>
        <w:rPr>
          <w:b/>
        </w:rPr>
        <w:t>ALES sayısal puan</w:t>
      </w:r>
      <w:r>
        <w:t xml:space="preserve"> türünde öğrenci alınacaktır.</w:t>
      </w:r>
    </w:p>
    <w:p w:rsidR="00142EAE" w:rsidRDefault="00142EAE" w:rsidP="00142EAE">
      <w:pPr>
        <w:ind w:firstLine="708"/>
        <w:jc w:val="both"/>
      </w:pPr>
    </w:p>
    <w:p w:rsidR="00142EAE" w:rsidRDefault="00142EAE" w:rsidP="00142EAE">
      <w:pPr>
        <w:jc w:val="both"/>
      </w:pPr>
      <w:r>
        <w:t xml:space="preserve">           Doktora programına müracaat edecek adaylar için, eşdeğerliği Üniversiteler arası kurul tarafından kabul edilen yabancı dil sınavlarının birinden en az 55 puan aldığını gösterir belge.</w:t>
      </w:r>
    </w:p>
    <w:p w:rsidR="00142EAE" w:rsidRDefault="00142EAE" w:rsidP="00142EAE">
      <w:pPr>
        <w:jc w:val="both"/>
      </w:pPr>
    </w:p>
    <w:p w:rsidR="00142EAE" w:rsidRDefault="00142EAE" w:rsidP="00142EAE">
      <w:pPr>
        <w:jc w:val="both"/>
        <w:rPr>
          <w:b/>
        </w:rPr>
      </w:pPr>
      <w:r>
        <w:t xml:space="preserve">         Mezuniyet not ortalamalarının 4’lük sistemden 100’lük sisteme dönüştürülmesinde Yükseköğretim Kurulu’ </w:t>
      </w:r>
      <w:proofErr w:type="spellStart"/>
      <w:r>
        <w:t>nun</w:t>
      </w:r>
      <w:proofErr w:type="spellEnd"/>
      <w:r>
        <w:t xml:space="preserve"> kabul ettiği dönüşüm tablosu esas alınacaktır. </w:t>
      </w:r>
    </w:p>
    <w:p w:rsidR="00142EAE" w:rsidRDefault="00142EAE" w:rsidP="00142EAE">
      <w:pPr>
        <w:spacing w:before="100" w:beforeAutospacing="1" w:after="100" w:afterAutospacing="1"/>
        <w:ind w:right="-110" w:firstLine="708"/>
        <w:rPr>
          <w:rStyle w:val="GlBavuru"/>
          <w:sz w:val="40"/>
          <w:szCs w:val="40"/>
        </w:rPr>
      </w:pPr>
      <w:r>
        <w:rPr>
          <w:rStyle w:val="GlBavuru"/>
          <w:sz w:val="40"/>
          <w:szCs w:val="40"/>
        </w:rPr>
        <w:t>Başvuru Tarihleri: 11.08.2014 – 20.08.2014</w:t>
      </w:r>
    </w:p>
    <w:p w:rsidR="00142EAE" w:rsidRDefault="00142EAE" w:rsidP="00142EAE">
      <w:pPr>
        <w:pStyle w:val="Balk4"/>
        <w:spacing w:line="276" w:lineRule="auto"/>
        <w:ind w:left="2124" w:firstLine="708"/>
        <w:rPr>
          <w:rStyle w:val="GlBavuru"/>
          <w:b/>
          <w:bCs/>
          <w:color w:val="365F91"/>
          <w:sz w:val="32"/>
          <w:szCs w:val="32"/>
        </w:rPr>
      </w:pPr>
      <w:r>
        <w:rPr>
          <w:rStyle w:val="GlBavuru"/>
          <w:b/>
          <w:bCs/>
          <w:color w:val="365F91"/>
          <w:sz w:val="32"/>
          <w:szCs w:val="32"/>
        </w:rPr>
        <w:t xml:space="preserve"> MÜLAKAT SINAV</w:t>
      </w:r>
      <w:r>
        <w:rPr>
          <w:rStyle w:val="Balk1Char"/>
          <w:color w:val="365F91"/>
          <w:sz w:val="32"/>
          <w:szCs w:val="32"/>
          <w:u w:val="single"/>
        </w:rPr>
        <w:t xml:space="preserve"> </w:t>
      </w:r>
      <w:r>
        <w:rPr>
          <w:rStyle w:val="GlBavuru"/>
          <w:b/>
          <w:bCs/>
          <w:color w:val="365F91"/>
          <w:sz w:val="32"/>
          <w:szCs w:val="32"/>
        </w:rPr>
        <w:t>Tarihi</w:t>
      </w:r>
    </w:p>
    <w:p w:rsidR="00142EAE" w:rsidRDefault="00142EAE" w:rsidP="00142EAE">
      <w:pPr>
        <w:pStyle w:val="Balk4"/>
        <w:jc w:val="center"/>
        <w:rPr>
          <w:rStyle w:val="GlBavuru"/>
          <w:b/>
          <w:bCs/>
          <w:color w:val="365F91"/>
          <w:sz w:val="32"/>
          <w:szCs w:val="32"/>
        </w:rPr>
      </w:pPr>
      <w:r>
        <w:rPr>
          <w:rStyle w:val="GlBavuru"/>
          <w:b/>
          <w:bCs/>
          <w:color w:val="365F91"/>
          <w:sz w:val="32"/>
          <w:szCs w:val="32"/>
        </w:rPr>
        <w:t xml:space="preserve">   21.08.2014 PERŞEMBE Günü</w:t>
      </w:r>
    </w:p>
    <w:p w:rsidR="00142EAE" w:rsidRDefault="00142EAE" w:rsidP="00142EAE">
      <w:pPr>
        <w:pStyle w:val="Balk4"/>
        <w:jc w:val="center"/>
        <w:rPr>
          <w:rStyle w:val="GlBavuru"/>
          <w:b/>
          <w:bCs/>
          <w:color w:val="365F91"/>
          <w:sz w:val="32"/>
          <w:szCs w:val="32"/>
        </w:rPr>
      </w:pPr>
      <w:r>
        <w:rPr>
          <w:rStyle w:val="GlBavuru"/>
          <w:b/>
          <w:bCs/>
          <w:color w:val="365F91"/>
          <w:sz w:val="32"/>
          <w:szCs w:val="32"/>
        </w:rPr>
        <w:t xml:space="preserve">Saat: </w:t>
      </w:r>
      <w:proofErr w:type="gramStart"/>
      <w:r>
        <w:rPr>
          <w:rStyle w:val="GlBavuru"/>
          <w:b/>
          <w:bCs/>
          <w:color w:val="365F91"/>
          <w:sz w:val="32"/>
          <w:szCs w:val="32"/>
        </w:rPr>
        <w:t>09:</w:t>
      </w:r>
      <w:r>
        <w:rPr>
          <w:rStyle w:val="GlBavuru"/>
          <w:b/>
          <w:bCs/>
          <w:color w:val="365F91"/>
          <w:sz w:val="32"/>
          <w:szCs w:val="32"/>
          <w:vertAlign w:val="superscript"/>
        </w:rPr>
        <w:t>00</w:t>
      </w:r>
      <w:proofErr w:type="gramEnd"/>
    </w:p>
    <w:p w:rsidR="00142EAE" w:rsidRDefault="00142EAE" w:rsidP="00142EAE">
      <w:pPr>
        <w:pStyle w:val="Balk4"/>
        <w:jc w:val="center"/>
        <w:rPr>
          <w:rStyle w:val="GlBavuru"/>
          <w:b/>
          <w:bCs/>
          <w:color w:val="365F91"/>
          <w:sz w:val="32"/>
          <w:szCs w:val="32"/>
        </w:rPr>
      </w:pPr>
      <w:r>
        <w:rPr>
          <w:rStyle w:val="GlBavuru"/>
          <w:b/>
          <w:bCs/>
          <w:color w:val="365F91"/>
          <w:sz w:val="32"/>
          <w:szCs w:val="32"/>
        </w:rPr>
        <w:t>Yer</w:t>
      </w:r>
    </w:p>
    <w:p w:rsidR="00142EAE" w:rsidRDefault="00142EAE" w:rsidP="00142EAE">
      <w:pPr>
        <w:pStyle w:val="Balk4"/>
        <w:ind w:left="708" w:firstLine="708"/>
        <w:jc w:val="both"/>
        <w:rPr>
          <w:rStyle w:val="GlBavuru"/>
          <w:rFonts w:ascii="Times New Roman" w:hAnsi="Times New Roman"/>
          <w:b/>
          <w:bCs/>
          <w:sz w:val="28"/>
          <w:szCs w:val="28"/>
        </w:rPr>
      </w:pPr>
      <w:r>
        <w:rPr>
          <w:rStyle w:val="GlBavuru"/>
          <w:rFonts w:ascii="Times New Roman" w:hAnsi="Times New Roman"/>
          <w:b/>
          <w:bCs/>
          <w:sz w:val="28"/>
          <w:szCs w:val="28"/>
        </w:rPr>
        <w:t xml:space="preserve">      </w:t>
      </w:r>
      <w:proofErr w:type="gramStart"/>
      <w:r>
        <w:rPr>
          <w:rStyle w:val="GlBavuru"/>
          <w:rFonts w:ascii="Times New Roman" w:hAnsi="Times New Roman"/>
          <w:b/>
          <w:bCs/>
          <w:sz w:val="28"/>
          <w:szCs w:val="28"/>
        </w:rPr>
        <w:t>tıbbi</w:t>
      </w:r>
      <w:proofErr w:type="gramEnd"/>
      <w:r>
        <w:rPr>
          <w:rStyle w:val="GlBavuru"/>
          <w:rFonts w:ascii="Times New Roman" w:hAnsi="Times New Roman"/>
          <w:b/>
          <w:bCs/>
          <w:sz w:val="28"/>
          <w:szCs w:val="28"/>
        </w:rPr>
        <w:t xml:space="preserve"> mikrobiyoloji anabilim dalı başkanlığı</w:t>
      </w:r>
    </w:p>
    <w:p w:rsidR="00142EAE" w:rsidRDefault="00142EAE" w:rsidP="00142EAE">
      <w:pPr>
        <w:rPr>
          <w:sz w:val="28"/>
          <w:szCs w:val="28"/>
        </w:rPr>
      </w:pPr>
    </w:p>
    <w:p w:rsidR="00142EAE" w:rsidRDefault="00142EAE" w:rsidP="00142EAE">
      <w:pPr>
        <w:pStyle w:val="NormalWeb"/>
        <w:spacing w:before="0" w:beforeAutospacing="0" w:after="0" w:afterAutospacing="0"/>
        <w:ind w:right="1" w:firstLine="708"/>
        <w:jc w:val="both"/>
        <w:rPr>
          <w:rStyle w:val="Gl"/>
          <w:sz w:val="22"/>
          <w:szCs w:val="22"/>
        </w:rPr>
      </w:pPr>
      <w:r>
        <w:rPr>
          <w:rStyle w:val="Gl"/>
          <w:sz w:val="22"/>
          <w:szCs w:val="22"/>
        </w:rPr>
        <w:lastRenderedPageBreak/>
        <w:t>ÖN KAYITTA İSTENİLEN BELGELER (Yüksek Lisans ve Doktora)</w:t>
      </w:r>
    </w:p>
    <w:p w:rsidR="00142EAE" w:rsidRDefault="00142EAE" w:rsidP="00142EAE">
      <w:pPr>
        <w:pStyle w:val="NormalWeb"/>
        <w:spacing w:before="0" w:beforeAutospacing="0" w:after="0" w:afterAutospacing="0"/>
        <w:ind w:right="1" w:firstLine="708"/>
        <w:jc w:val="both"/>
        <w:rPr>
          <w:rStyle w:val="Gl"/>
          <w:sz w:val="22"/>
          <w:szCs w:val="22"/>
        </w:rPr>
      </w:pPr>
    </w:p>
    <w:p w:rsidR="00142EAE" w:rsidRDefault="00142EAE" w:rsidP="00142EAE">
      <w:pPr>
        <w:pStyle w:val="ListeParagraf"/>
        <w:numPr>
          <w:ilvl w:val="0"/>
          <w:numId w:val="1"/>
        </w:numPr>
        <w:ind w:left="0"/>
        <w:jc w:val="both"/>
      </w:pPr>
      <w:r>
        <w:rPr>
          <w:sz w:val="22"/>
          <w:szCs w:val="22"/>
        </w:rPr>
        <w:t>1 adet yarım kapaklı dosya</w:t>
      </w:r>
    </w:p>
    <w:p w:rsidR="00142EAE" w:rsidRDefault="00142EAE" w:rsidP="00142EAE">
      <w:pPr>
        <w:pStyle w:val="ListeParagraf"/>
        <w:numPr>
          <w:ilvl w:val="0"/>
          <w:numId w:val="1"/>
        </w:numPr>
        <w:ind w:left="0"/>
        <w:jc w:val="both"/>
        <w:rPr>
          <w:sz w:val="22"/>
          <w:szCs w:val="22"/>
        </w:rPr>
      </w:pPr>
      <w:r>
        <w:rPr>
          <w:sz w:val="22"/>
          <w:szCs w:val="22"/>
        </w:rPr>
        <w:t xml:space="preserve">Yüksek Lisans için </w:t>
      </w:r>
      <w:r>
        <w:rPr>
          <w:b/>
          <w:sz w:val="22"/>
          <w:szCs w:val="22"/>
        </w:rPr>
        <w:t>Lisans</w:t>
      </w:r>
      <w:r>
        <w:rPr>
          <w:b/>
          <w:i/>
          <w:sz w:val="22"/>
          <w:szCs w:val="22"/>
        </w:rPr>
        <w:t>,</w:t>
      </w:r>
      <w:r>
        <w:rPr>
          <w:sz w:val="22"/>
          <w:szCs w:val="22"/>
        </w:rPr>
        <w:t xml:space="preserve">  Doktora için </w:t>
      </w:r>
      <w:r>
        <w:rPr>
          <w:b/>
          <w:sz w:val="22"/>
          <w:szCs w:val="22"/>
        </w:rPr>
        <w:t xml:space="preserve">Yüksek Lisans Mezuniyet Belgesi </w:t>
      </w:r>
      <w:r>
        <w:rPr>
          <w:sz w:val="22"/>
          <w:szCs w:val="22"/>
        </w:rPr>
        <w:t>veya</w:t>
      </w:r>
      <w:r>
        <w:rPr>
          <w:b/>
          <w:sz w:val="22"/>
          <w:szCs w:val="22"/>
        </w:rPr>
        <w:t xml:space="preserve"> Diplomanın</w:t>
      </w:r>
      <w:r>
        <w:rPr>
          <w:sz w:val="22"/>
          <w:szCs w:val="22"/>
        </w:rPr>
        <w:t xml:space="preserve"> onaylı sureti.</w:t>
      </w:r>
    </w:p>
    <w:p w:rsidR="00142EAE" w:rsidRDefault="00142EAE" w:rsidP="00142EAE">
      <w:pPr>
        <w:pStyle w:val="ListeParagraf"/>
        <w:numPr>
          <w:ilvl w:val="0"/>
          <w:numId w:val="1"/>
        </w:numPr>
        <w:ind w:left="0"/>
        <w:jc w:val="both"/>
        <w:rPr>
          <w:sz w:val="22"/>
          <w:szCs w:val="22"/>
        </w:rPr>
      </w:pPr>
      <w:r>
        <w:rPr>
          <w:sz w:val="22"/>
          <w:szCs w:val="22"/>
        </w:rPr>
        <w:t>Akademik Personel ve Lisansüstü Eğitimi Giriş Sınavı (ALES) Sonuç Belgesi. (</w:t>
      </w:r>
      <w:r>
        <w:rPr>
          <w:bCs/>
          <w:sz w:val="22"/>
          <w:szCs w:val="22"/>
        </w:rPr>
        <w:t>Onaylı)</w:t>
      </w:r>
    </w:p>
    <w:p w:rsidR="00142EAE" w:rsidRDefault="00142EAE" w:rsidP="00142EAE">
      <w:pPr>
        <w:pStyle w:val="Default"/>
        <w:numPr>
          <w:ilvl w:val="0"/>
          <w:numId w:val="1"/>
        </w:numPr>
        <w:jc w:val="both"/>
        <w:rPr>
          <w:bCs/>
          <w:sz w:val="22"/>
          <w:szCs w:val="22"/>
        </w:rPr>
      </w:pPr>
      <w:r>
        <w:rPr>
          <w:color w:val="auto"/>
          <w:sz w:val="22"/>
          <w:szCs w:val="22"/>
        </w:rPr>
        <w:t xml:space="preserve">Lisans / Yüksek Lisans </w:t>
      </w:r>
      <w:r>
        <w:rPr>
          <w:bCs/>
          <w:color w:val="auto"/>
          <w:sz w:val="22"/>
          <w:szCs w:val="22"/>
        </w:rPr>
        <w:t xml:space="preserve">not ortalamasını gösteren </w:t>
      </w:r>
      <w:proofErr w:type="spellStart"/>
      <w:r>
        <w:rPr>
          <w:bCs/>
          <w:color w:val="auto"/>
          <w:sz w:val="22"/>
          <w:szCs w:val="22"/>
        </w:rPr>
        <w:t>Transkript</w:t>
      </w:r>
      <w:proofErr w:type="spellEnd"/>
      <w:r>
        <w:rPr>
          <w:bCs/>
          <w:color w:val="auto"/>
          <w:sz w:val="22"/>
          <w:szCs w:val="22"/>
        </w:rPr>
        <w:t xml:space="preserve"> Belgesi (</w:t>
      </w:r>
      <w:r>
        <w:rPr>
          <w:bCs/>
          <w:sz w:val="22"/>
          <w:szCs w:val="22"/>
        </w:rPr>
        <w:t>Onaylı)</w:t>
      </w:r>
    </w:p>
    <w:p w:rsidR="00142EAE" w:rsidRDefault="00142EAE" w:rsidP="00142EAE">
      <w:pPr>
        <w:pStyle w:val="ListeParagraf"/>
        <w:numPr>
          <w:ilvl w:val="0"/>
          <w:numId w:val="1"/>
        </w:numPr>
        <w:ind w:left="0"/>
        <w:jc w:val="both"/>
        <w:rPr>
          <w:sz w:val="22"/>
          <w:szCs w:val="22"/>
        </w:rPr>
      </w:pPr>
      <w:r>
        <w:rPr>
          <w:sz w:val="22"/>
          <w:szCs w:val="22"/>
        </w:rPr>
        <w:t>Doktora programına müracaat edecek adayların, başvurdukları programın ilgili alan türünde Üniversitelerarası Kurulca kabul edilen bir sınavdan en az 55 puan veya eşdeğer kabul edilen diğer yabancı dil sınavlarından yukarıda belirtilen puanların karşılığı puanları almış olduğu bir belge.</w:t>
      </w:r>
    </w:p>
    <w:p w:rsidR="00142EAE" w:rsidRDefault="00142EAE" w:rsidP="00142EAE">
      <w:pPr>
        <w:pStyle w:val="ListeParagraf"/>
        <w:numPr>
          <w:ilvl w:val="0"/>
          <w:numId w:val="1"/>
        </w:numPr>
        <w:ind w:left="0"/>
        <w:jc w:val="both"/>
        <w:rPr>
          <w:sz w:val="22"/>
          <w:szCs w:val="22"/>
        </w:rPr>
      </w:pPr>
      <w:r>
        <w:rPr>
          <w:sz w:val="22"/>
          <w:szCs w:val="22"/>
        </w:rPr>
        <w:t>Lisans mezunu olup doğrudan doktora programına müracaat edeceklerin, başvurdukları programın puan türünde ALES’ ten en az 85 puan almış olmaları gerekmektedir.</w:t>
      </w:r>
    </w:p>
    <w:p w:rsidR="00142EAE" w:rsidRDefault="00142EAE" w:rsidP="00142EAE">
      <w:pPr>
        <w:pStyle w:val="ListeParagraf"/>
        <w:numPr>
          <w:ilvl w:val="0"/>
          <w:numId w:val="1"/>
        </w:numPr>
        <w:ind w:left="0"/>
        <w:jc w:val="both"/>
        <w:rPr>
          <w:b/>
          <w:sz w:val="22"/>
          <w:szCs w:val="22"/>
        </w:rPr>
      </w:pPr>
      <w:r>
        <w:rPr>
          <w:sz w:val="22"/>
          <w:szCs w:val="22"/>
        </w:rPr>
        <w:t xml:space="preserve">Başvuru Formu </w:t>
      </w:r>
      <w:r>
        <w:rPr>
          <w:b/>
          <w:sz w:val="22"/>
          <w:szCs w:val="22"/>
        </w:rPr>
        <w:t>(Enstitümüzün web sayfasından temin edilebilir)</w:t>
      </w:r>
    </w:p>
    <w:p w:rsidR="00142EAE" w:rsidRDefault="00142EAE" w:rsidP="00142EAE">
      <w:pPr>
        <w:pStyle w:val="ListeParagraf"/>
        <w:numPr>
          <w:ilvl w:val="0"/>
          <w:numId w:val="1"/>
        </w:numPr>
        <w:ind w:left="0"/>
        <w:jc w:val="both"/>
        <w:rPr>
          <w:sz w:val="22"/>
          <w:szCs w:val="22"/>
        </w:rPr>
      </w:pPr>
      <w:r>
        <w:rPr>
          <w:sz w:val="22"/>
          <w:szCs w:val="22"/>
        </w:rPr>
        <w:t>1 Adet 4,5x6 cm fotoğraf. ( Fotoğraflar son 6 ay)</w:t>
      </w:r>
    </w:p>
    <w:p w:rsidR="00142EAE" w:rsidRDefault="00142EAE" w:rsidP="00142EAE">
      <w:pPr>
        <w:spacing w:before="100" w:beforeAutospacing="1" w:after="100" w:afterAutospacing="1"/>
        <w:ind w:right="-110" w:firstLine="360"/>
        <w:jc w:val="both"/>
        <w:rPr>
          <w:rStyle w:val="GlBavuru"/>
          <w:color w:val="FF0000"/>
        </w:rPr>
      </w:pPr>
      <w:r>
        <w:rPr>
          <w:rStyle w:val="GlBavuru"/>
          <w:color w:val="FF0000"/>
          <w:sz w:val="22"/>
          <w:szCs w:val="22"/>
        </w:rPr>
        <w:t xml:space="preserve">    Başvuru değerlendirme Sonuçları sağlık Bilimler Enstitüsü web sayfasından 25 AĞUSTOS 2014 tarihinde açıklanacaktır. </w:t>
      </w:r>
    </w:p>
    <w:p w:rsidR="00142EAE" w:rsidRDefault="00142EAE" w:rsidP="00142EAE">
      <w:pPr>
        <w:ind w:right="1"/>
        <w:jc w:val="center"/>
      </w:pPr>
      <w:r>
        <w:rPr>
          <w:b/>
          <w:sz w:val="22"/>
          <w:szCs w:val="22"/>
          <w:u w:val="single"/>
        </w:rPr>
        <w:t>KESİN KAYIT</w:t>
      </w:r>
    </w:p>
    <w:p w:rsidR="00142EAE" w:rsidRDefault="00142EAE" w:rsidP="00142EAE">
      <w:pPr>
        <w:ind w:right="1"/>
        <w:jc w:val="center"/>
        <w:rPr>
          <w:b/>
          <w:sz w:val="22"/>
          <w:szCs w:val="22"/>
          <w:u w:val="single"/>
        </w:rPr>
      </w:pPr>
    </w:p>
    <w:p w:rsidR="00142EAE" w:rsidRDefault="00142EAE" w:rsidP="00142EAE">
      <w:pPr>
        <w:ind w:right="1" w:firstLine="708"/>
        <w:jc w:val="both"/>
        <w:rPr>
          <w:b/>
          <w:bCs/>
          <w:sz w:val="28"/>
          <w:szCs w:val="28"/>
        </w:rPr>
      </w:pPr>
      <w:r>
        <w:t>Kayıt hakkı kazanan adayların kesin kayıtları</w:t>
      </w:r>
      <w:r>
        <w:rPr>
          <w:b/>
        </w:rPr>
        <w:t xml:space="preserve"> </w:t>
      </w:r>
      <w:r>
        <w:rPr>
          <w:b/>
          <w:u w:val="single"/>
        </w:rPr>
        <w:t>26 Ağustos 2014 – 29 Ağustos 2014 tarihleri arasında</w:t>
      </w:r>
      <w:r>
        <w:t xml:space="preserve"> yapılacaktır. Kesin kayıt yaptırmayanlar nedeniyle boş kalan kontenjanlara başvuru tarihleri </w:t>
      </w:r>
      <w:r>
        <w:rPr>
          <w:b/>
          <w:bCs/>
        </w:rPr>
        <w:t>Enstitümüz web sayfasından mesai bitiminden sonra ilan edilecektir</w:t>
      </w:r>
      <w:r>
        <w:rPr>
          <w:b/>
          <w:bCs/>
          <w:sz w:val="28"/>
          <w:szCs w:val="28"/>
        </w:rPr>
        <w:t>.</w:t>
      </w:r>
    </w:p>
    <w:p w:rsidR="00142EAE" w:rsidRDefault="00142EAE" w:rsidP="00142EAE">
      <w:pPr>
        <w:spacing w:before="100" w:beforeAutospacing="1" w:after="100" w:afterAutospacing="1" w:line="276" w:lineRule="auto"/>
        <w:ind w:right="-110"/>
        <w:jc w:val="both"/>
      </w:pPr>
      <w:r>
        <w:t xml:space="preserve">       Yedek aday başvuru işlemleri </w:t>
      </w:r>
      <w:r>
        <w:rPr>
          <w:b/>
          <w:color w:val="FF0000"/>
          <w:u w:val="single"/>
        </w:rPr>
        <w:t>01 Eylül 2014 – 04 Eylül 2014</w:t>
      </w:r>
      <w:r>
        <w:t xml:space="preserve"> tarihlerinde yapılacak,  sonuçlar Enstitümüz web sayfasından </w:t>
      </w:r>
      <w:r>
        <w:rPr>
          <w:b/>
          <w:color w:val="FF0000"/>
          <w:u w:val="single"/>
        </w:rPr>
        <w:t xml:space="preserve">05 Eylül 2014 </w:t>
      </w:r>
      <w:r>
        <w:t>tarihinde ilan edilecektir.</w:t>
      </w:r>
    </w:p>
    <w:p w:rsidR="00142EAE" w:rsidRDefault="00142EAE" w:rsidP="00142EAE">
      <w:pPr>
        <w:ind w:right="1"/>
        <w:jc w:val="center"/>
        <w:rPr>
          <w:b/>
          <w:bCs/>
          <w:sz w:val="22"/>
          <w:szCs w:val="22"/>
        </w:rPr>
      </w:pPr>
      <w:r>
        <w:rPr>
          <w:b/>
          <w:bCs/>
          <w:sz w:val="22"/>
          <w:szCs w:val="22"/>
        </w:rPr>
        <w:t xml:space="preserve">KESİN KAYITTA İSTENEN BELGELER </w:t>
      </w:r>
      <w:r>
        <w:rPr>
          <w:rStyle w:val="Gl"/>
          <w:sz w:val="22"/>
          <w:szCs w:val="22"/>
        </w:rPr>
        <w:t>(Yüksek Lisans ve Doktora)</w:t>
      </w:r>
    </w:p>
    <w:p w:rsidR="00142EAE" w:rsidRDefault="00142EAE" w:rsidP="00142EAE">
      <w:pPr>
        <w:ind w:right="1"/>
        <w:jc w:val="both"/>
        <w:rPr>
          <w:b/>
          <w:bCs/>
          <w:sz w:val="22"/>
          <w:szCs w:val="22"/>
          <w:u w:val="single"/>
        </w:rPr>
      </w:pPr>
    </w:p>
    <w:p w:rsidR="00142EAE" w:rsidRDefault="00142EAE" w:rsidP="00142EAE">
      <w:pPr>
        <w:ind w:right="1"/>
        <w:jc w:val="both"/>
        <w:rPr>
          <w:sz w:val="22"/>
          <w:szCs w:val="22"/>
        </w:rPr>
      </w:pPr>
      <w:r>
        <w:rPr>
          <w:b/>
          <w:sz w:val="22"/>
          <w:szCs w:val="22"/>
        </w:rPr>
        <w:t xml:space="preserve">1.  </w:t>
      </w:r>
      <w:r>
        <w:rPr>
          <w:sz w:val="22"/>
          <w:szCs w:val="22"/>
        </w:rPr>
        <w:t xml:space="preserve">2 Adet 4,5x6 cm boyutunda fotoğraf (Fotoğraflar son 6 ay) </w:t>
      </w:r>
    </w:p>
    <w:p w:rsidR="00142EAE" w:rsidRDefault="00142EAE" w:rsidP="00142EAE">
      <w:pPr>
        <w:ind w:right="1"/>
        <w:jc w:val="both"/>
        <w:rPr>
          <w:sz w:val="22"/>
          <w:szCs w:val="22"/>
        </w:rPr>
      </w:pPr>
      <w:r>
        <w:rPr>
          <w:b/>
          <w:sz w:val="22"/>
          <w:szCs w:val="22"/>
        </w:rPr>
        <w:t xml:space="preserve">2.  </w:t>
      </w:r>
      <w:r>
        <w:rPr>
          <w:sz w:val="22"/>
          <w:szCs w:val="22"/>
        </w:rPr>
        <w:t>Nüfus Cüzdanı Fotokopisi (Onaylı)</w:t>
      </w:r>
    </w:p>
    <w:p w:rsidR="00142EAE" w:rsidRDefault="00142EAE" w:rsidP="00142EAE">
      <w:pPr>
        <w:pStyle w:val="GvdeMetni"/>
        <w:tabs>
          <w:tab w:val="left" w:pos="567"/>
          <w:tab w:val="left" w:pos="851"/>
        </w:tabs>
        <w:ind w:left="284" w:right="1" w:hanging="284"/>
        <w:rPr>
          <w:szCs w:val="22"/>
        </w:rPr>
      </w:pPr>
      <w:r>
        <w:rPr>
          <w:b/>
          <w:bCs/>
          <w:szCs w:val="22"/>
        </w:rPr>
        <w:t xml:space="preserve">3.  </w:t>
      </w:r>
      <w:r>
        <w:rPr>
          <w:szCs w:val="22"/>
        </w:rPr>
        <w:t>Erkek öğrenciler için ilgili askerlik şubesinden alınacak Askerlik Durum Belgesi (Askerlik görevini yapmayanlar için)</w:t>
      </w:r>
    </w:p>
    <w:p w:rsidR="00142EAE" w:rsidRDefault="00142EAE" w:rsidP="00142EAE">
      <w:pPr>
        <w:spacing w:before="100" w:beforeAutospacing="1" w:after="100" w:afterAutospacing="1" w:line="276" w:lineRule="auto"/>
        <w:ind w:right="-110"/>
        <w:jc w:val="center"/>
        <w:rPr>
          <w:b/>
          <w:u w:val="single"/>
        </w:rPr>
      </w:pPr>
      <w:r>
        <w:rPr>
          <w:b/>
          <w:u w:val="single"/>
        </w:rPr>
        <w:t>DERS KAYITLARI</w:t>
      </w:r>
    </w:p>
    <w:p w:rsidR="00142EAE" w:rsidRDefault="00142EAE" w:rsidP="00142EAE">
      <w:pPr>
        <w:spacing w:before="100" w:beforeAutospacing="1" w:after="100" w:afterAutospacing="1" w:line="276" w:lineRule="auto"/>
        <w:ind w:right="-110"/>
        <w:jc w:val="both"/>
        <w:rPr>
          <w:b/>
        </w:rPr>
      </w:pPr>
      <w:r>
        <w:rPr>
          <w:b/>
        </w:rPr>
        <w:t xml:space="preserve">                </w:t>
      </w:r>
      <w:r>
        <w:rPr>
          <w:b/>
          <w:color w:val="C00000"/>
        </w:rPr>
        <w:t>08 Eylül 2014-12 Eylül 2014 TARİHLERİ ARASINDA YAPILACAKTIR</w:t>
      </w:r>
      <w:r>
        <w:t>.</w:t>
      </w:r>
    </w:p>
    <w:p w:rsidR="00142EAE" w:rsidRDefault="00142EAE" w:rsidP="00142EAE">
      <w:pPr>
        <w:pStyle w:val="Balk9"/>
        <w:spacing w:before="120" w:beforeAutospacing="0" w:after="0" w:afterAutospacing="0" w:line="276" w:lineRule="auto"/>
        <w:ind w:firstLine="357"/>
        <w:jc w:val="center"/>
        <w:rPr>
          <w:b/>
          <w:color w:val="403152"/>
          <w:u w:val="single"/>
        </w:rPr>
      </w:pPr>
      <w:r>
        <w:rPr>
          <w:b/>
          <w:color w:val="403152"/>
          <w:u w:val="single"/>
        </w:rPr>
        <w:t>ADAYLARIN DİKKATİNE</w:t>
      </w:r>
    </w:p>
    <w:p w:rsidR="00142EAE" w:rsidRDefault="00142EAE" w:rsidP="00142EAE">
      <w:pPr>
        <w:pStyle w:val="Balk9"/>
        <w:spacing w:before="0" w:beforeAutospacing="0" w:after="0" w:afterAutospacing="0"/>
        <w:ind w:firstLine="360"/>
        <w:jc w:val="center"/>
        <w:rPr>
          <w:b/>
          <w:color w:val="403152"/>
        </w:rPr>
      </w:pPr>
      <w:r>
        <w:rPr>
          <w:b/>
          <w:color w:val="403152"/>
        </w:rPr>
        <w:t xml:space="preserve">Başvurular Erzincan Üniversitesi Sağlık Bilimler Enstitüsü Müdürlüğüne </w:t>
      </w:r>
    </w:p>
    <w:p w:rsidR="00142EAE" w:rsidRDefault="00142EAE" w:rsidP="00142EAE">
      <w:pPr>
        <w:pStyle w:val="Balk9"/>
        <w:spacing w:before="0" w:beforeAutospacing="0" w:after="0" w:afterAutospacing="0"/>
        <w:ind w:firstLine="360"/>
        <w:jc w:val="center"/>
        <w:rPr>
          <w:b/>
          <w:color w:val="403152"/>
        </w:rPr>
      </w:pPr>
      <w:r>
        <w:rPr>
          <w:b/>
          <w:color w:val="403152"/>
        </w:rPr>
        <w:t>(</w:t>
      </w:r>
      <w:proofErr w:type="spellStart"/>
      <w:r>
        <w:rPr>
          <w:b/>
          <w:color w:val="403152"/>
        </w:rPr>
        <w:t>Başbağlar</w:t>
      </w:r>
      <w:proofErr w:type="spellEnd"/>
      <w:r>
        <w:rPr>
          <w:b/>
          <w:color w:val="403152"/>
        </w:rPr>
        <w:t xml:space="preserve"> Mahallesi) </w:t>
      </w:r>
      <w:r>
        <w:rPr>
          <w:b/>
          <w:i/>
          <w:color w:val="403152"/>
          <w:u w:val="single"/>
        </w:rPr>
        <w:t>ŞAHSEN</w:t>
      </w:r>
      <w:r>
        <w:rPr>
          <w:b/>
          <w:color w:val="403152"/>
        </w:rPr>
        <w:t xml:space="preserve"> yapılacaktır. İletişim 0446 2242910</w:t>
      </w:r>
    </w:p>
    <w:p w:rsidR="00142EAE" w:rsidRDefault="00142EAE" w:rsidP="00142EAE">
      <w:pPr>
        <w:pStyle w:val="Balk9"/>
        <w:spacing w:before="0" w:beforeAutospacing="0" w:after="0" w:afterAutospacing="0"/>
        <w:ind w:firstLine="360"/>
        <w:jc w:val="center"/>
        <w:rPr>
          <w:b/>
          <w:color w:val="403152"/>
        </w:rPr>
      </w:pPr>
    </w:p>
    <w:p w:rsidR="00142EAE" w:rsidRDefault="00142EAE" w:rsidP="00142EAE">
      <w:pPr>
        <w:pStyle w:val="Balk9"/>
        <w:spacing w:before="0" w:beforeAutospacing="0" w:after="0" w:afterAutospacing="0"/>
        <w:ind w:firstLine="360"/>
        <w:jc w:val="center"/>
        <w:rPr>
          <w:b/>
          <w:bCs/>
          <w:color w:val="403152"/>
        </w:rPr>
      </w:pPr>
      <w:r>
        <w:rPr>
          <w:b/>
          <w:bCs/>
          <w:color w:val="403152"/>
        </w:rPr>
        <w:t>Belge asıllarını ibraz etmek kaydıyla, belge onayları Enstitümüz tarafından yapılabilecektir.</w:t>
      </w:r>
    </w:p>
    <w:p w:rsidR="00142EAE" w:rsidRDefault="00142EAE" w:rsidP="00142EAE">
      <w:pPr>
        <w:rPr>
          <w:rFonts w:ascii="Arial" w:hAnsi="Arial" w:cs="Arial"/>
          <w:b/>
          <w:color w:val="666666"/>
        </w:rPr>
      </w:pPr>
      <w:r>
        <w:rPr>
          <w:rFonts w:ascii="Arial" w:hAnsi="Arial" w:cs="Arial"/>
          <w:b/>
          <w:color w:val="666666"/>
        </w:rPr>
        <w:tab/>
      </w:r>
    </w:p>
    <w:p w:rsidR="00AA55FF" w:rsidRDefault="00142EAE"/>
    <w:sectPr w:rsidR="00AA55FF" w:rsidSect="00C74B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A1B4D"/>
    <w:multiLevelType w:val="hybridMultilevel"/>
    <w:tmpl w:val="1D72F4AC"/>
    <w:lvl w:ilvl="0" w:tplc="EC90E300">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2EAE"/>
    <w:rsid w:val="00142EAE"/>
    <w:rsid w:val="00671A72"/>
    <w:rsid w:val="00AE554F"/>
    <w:rsid w:val="00C74B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A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42EAE"/>
    <w:pPr>
      <w:keepNext/>
      <w:jc w:val="both"/>
      <w:outlineLvl w:val="0"/>
    </w:pPr>
    <w:rPr>
      <w:b/>
      <w:bCs/>
    </w:rPr>
  </w:style>
  <w:style w:type="paragraph" w:styleId="Balk4">
    <w:name w:val="heading 4"/>
    <w:basedOn w:val="Normal"/>
    <w:next w:val="Normal"/>
    <w:link w:val="Balk4Char"/>
    <w:uiPriority w:val="9"/>
    <w:semiHidden/>
    <w:unhideWhenUsed/>
    <w:qFormat/>
    <w:rsid w:val="00142EAE"/>
    <w:pPr>
      <w:keepNext/>
      <w:keepLines/>
      <w:spacing w:before="200"/>
      <w:outlineLvl w:val="3"/>
    </w:pPr>
    <w:rPr>
      <w:rFonts w:ascii="Cambria" w:hAnsi="Cambria"/>
      <w:b/>
      <w:bCs/>
      <w:i/>
      <w:iCs/>
      <w:color w:val="4F81BD"/>
    </w:rPr>
  </w:style>
  <w:style w:type="paragraph" w:styleId="Balk9">
    <w:name w:val="heading 9"/>
    <w:basedOn w:val="Normal"/>
    <w:link w:val="Balk9Char"/>
    <w:uiPriority w:val="9"/>
    <w:semiHidden/>
    <w:unhideWhenUsed/>
    <w:qFormat/>
    <w:rsid w:val="00142EAE"/>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42EAE"/>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semiHidden/>
    <w:rsid w:val="00142EAE"/>
    <w:rPr>
      <w:rFonts w:ascii="Cambria" w:eastAsia="Times New Roman" w:hAnsi="Cambria" w:cs="Times New Roman"/>
      <w:b/>
      <w:bCs/>
      <w:i/>
      <w:iCs/>
      <w:color w:val="4F81BD"/>
      <w:sz w:val="24"/>
      <w:szCs w:val="24"/>
      <w:lang w:eastAsia="tr-TR"/>
    </w:rPr>
  </w:style>
  <w:style w:type="character" w:customStyle="1" w:styleId="Balk9Char">
    <w:name w:val="Başlık 9 Char"/>
    <w:basedOn w:val="VarsaylanParagrafYazTipi"/>
    <w:link w:val="Balk9"/>
    <w:uiPriority w:val="9"/>
    <w:semiHidden/>
    <w:rsid w:val="00142EAE"/>
    <w:rPr>
      <w:rFonts w:ascii="Times New Roman" w:eastAsia="Times New Roman" w:hAnsi="Times New Roman" w:cs="Times New Roman"/>
      <w:sz w:val="24"/>
      <w:szCs w:val="24"/>
      <w:lang w:eastAsia="tr-TR"/>
    </w:rPr>
  </w:style>
  <w:style w:type="paragraph" w:styleId="NormalWeb">
    <w:name w:val="Normal (Web)"/>
    <w:basedOn w:val="Normal"/>
    <w:semiHidden/>
    <w:unhideWhenUsed/>
    <w:rsid w:val="00142EAE"/>
    <w:pPr>
      <w:spacing w:before="100" w:beforeAutospacing="1" w:after="100" w:afterAutospacing="1"/>
    </w:pPr>
  </w:style>
  <w:style w:type="paragraph" w:styleId="GvdeMetni">
    <w:name w:val="Body Text"/>
    <w:basedOn w:val="Normal"/>
    <w:link w:val="GvdeMetniChar"/>
    <w:semiHidden/>
    <w:unhideWhenUsed/>
    <w:rsid w:val="00142EAE"/>
    <w:pPr>
      <w:jc w:val="both"/>
    </w:pPr>
    <w:rPr>
      <w:sz w:val="22"/>
      <w:szCs w:val="20"/>
    </w:rPr>
  </w:style>
  <w:style w:type="character" w:customStyle="1" w:styleId="GvdeMetniChar">
    <w:name w:val="Gövde Metni Char"/>
    <w:basedOn w:val="VarsaylanParagrafYazTipi"/>
    <w:link w:val="GvdeMetni"/>
    <w:semiHidden/>
    <w:rsid w:val="00142EAE"/>
    <w:rPr>
      <w:rFonts w:ascii="Times New Roman" w:eastAsia="Times New Roman" w:hAnsi="Times New Roman" w:cs="Times New Roman"/>
      <w:szCs w:val="20"/>
      <w:lang w:eastAsia="tr-TR"/>
    </w:rPr>
  </w:style>
  <w:style w:type="paragraph" w:customStyle="1" w:styleId="Default">
    <w:name w:val="Default"/>
    <w:rsid w:val="00142EA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Bavuru">
    <w:name w:val="Intense Reference"/>
    <w:uiPriority w:val="32"/>
    <w:qFormat/>
    <w:rsid w:val="00142EAE"/>
    <w:rPr>
      <w:b/>
      <w:bCs/>
      <w:smallCaps/>
      <w:color w:val="C0504D"/>
      <w:spacing w:val="5"/>
      <w:u w:val="single"/>
    </w:rPr>
  </w:style>
  <w:style w:type="character" w:styleId="Gl">
    <w:name w:val="Strong"/>
    <w:basedOn w:val="VarsaylanParagrafYazTipi"/>
    <w:qFormat/>
    <w:rsid w:val="00142EAE"/>
    <w:rPr>
      <w:b/>
      <w:bCs/>
    </w:rPr>
  </w:style>
  <w:style w:type="paragraph" w:styleId="ListeParagraf">
    <w:name w:val="List Paragraph"/>
    <w:basedOn w:val="Normal"/>
    <w:uiPriority w:val="34"/>
    <w:qFormat/>
    <w:rsid w:val="00142E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742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erun</dc:creator>
  <cp:lastModifiedBy>erun</cp:lastModifiedBy>
  <cp:revision>1</cp:revision>
  <dcterms:created xsi:type="dcterms:W3CDTF">2014-06-18T12:08:00Z</dcterms:created>
  <dcterms:modified xsi:type="dcterms:W3CDTF">2014-06-18T12:10:00Z</dcterms:modified>
</cp:coreProperties>
</file>