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61" w:rsidRPr="00715061" w:rsidRDefault="00715061" w:rsidP="00715061">
      <w:pPr>
        <w:shd w:val="clear" w:color="auto" w:fill="FFFFFF"/>
        <w:spacing w:before="100" w:beforeAutospacing="1" w:after="100" w:afterAutospacing="1" w:line="240" w:lineRule="auto"/>
        <w:jc w:val="center"/>
        <w:outlineLvl w:val="0"/>
        <w:rPr>
          <w:rFonts w:ascii="Arial" w:eastAsia="Times New Roman" w:hAnsi="Arial" w:cs="Arial"/>
          <w:b/>
          <w:bCs/>
          <w:color w:val="C17D11"/>
          <w:kern w:val="36"/>
          <w:sz w:val="20"/>
          <w:szCs w:val="20"/>
          <w:lang w:eastAsia="tr-TR"/>
        </w:rPr>
      </w:pPr>
      <w:r w:rsidRPr="00715061">
        <w:rPr>
          <w:rFonts w:ascii="Arial" w:eastAsia="Times New Roman" w:hAnsi="Arial" w:cs="Arial"/>
          <w:b/>
          <w:bCs/>
          <w:color w:val="C17D11"/>
          <w:kern w:val="36"/>
          <w:sz w:val="20"/>
          <w:szCs w:val="20"/>
          <w:lang w:eastAsia="tr-TR"/>
        </w:rPr>
        <w:t>TUNCELİ ÜNİVERSİTESİ REKTÖRLÜĞÜ’NDEN</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2013–2014 Eğitim ve öğretim yılı bahar yarıyılında Sosyal Bilimler Enstitüsü’nün aşağıda belirtilen programına Tunceli Üniversitesi Lisansüstü Eğitim-Öğretim ve Sınav Yönetmeliği’ne göre Yüksek Lisans öğrencisi alınacaktır.</w:t>
      </w:r>
    </w:p>
    <w:p w:rsidR="00715061" w:rsidRPr="00715061" w:rsidRDefault="00715061" w:rsidP="00715061">
      <w:pPr>
        <w:shd w:val="clear" w:color="auto" w:fill="FFFFFF"/>
        <w:spacing w:before="100" w:beforeAutospacing="1" w:after="100" w:afterAutospacing="1" w:line="240" w:lineRule="auto"/>
        <w:ind w:left="2124" w:firstLine="708"/>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lang w:eastAsia="tr-TR"/>
        </w:rPr>
        <w:t>                   </w:t>
      </w: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5786"/>
        <w:gridCol w:w="1688"/>
        <w:gridCol w:w="880"/>
        <w:gridCol w:w="934"/>
      </w:tblGrid>
      <w:tr w:rsidR="00715061" w:rsidRPr="00715061" w:rsidTr="00715061">
        <w:trPr>
          <w:trHeight w:val="913"/>
        </w:trPr>
        <w:tc>
          <w:tcPr>
            <w:tcW w:w="5786"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Programın Adı</w:t>
            </w:r>
          </w:p>
        </w:tc>
        <w:tc>
          <w:tcPr>
            <w:tcW w:w="1688" w:type="dxa"/>
            <w:tcBorders>
              <w:top w:val="single" w:sz="8" w:space="0" w:color="000000"/>
              <w:left w:val="nil"/>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Kontenjan Sayısı</w:t>
            </w:r>
          </w:p>
        </w:tc>
        <w:tc>
          <w:tcPr>
            <w:tcW w:w="0" w:type="auto"/>
            <w:tcBorders>
              <w:top w:val="single" w:sz="8" w:space="0" w:color="000000"/>
              <w:left w:val="nil"/>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ALES Puanı</w:t>
            </w:r>
          </w:p>
        </w:tc>
        <w:tc>
          <w:tcPr>
            <w:tcW w:w="0" w:type="auto"/>
            <w:tcBorders>
              <w:top w:val="single" w:sz="8" w:space="0" w:color="000000"/>
              <w:left w:val="nil"/>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ALES</w:t>
            </w:r>
          </w:p>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Puan Türü</w:t>
            </w:r>
          </w:p>
        </w:tc>
      </w:tr>
      <w:tr w:rsidR="00715061" w:rsidRPr="00715061" w:rsidTr="00715061">
        <w:trPr>
          <w:trHeight w:val="605"/>
        </w:trPr>
        <w:tc>
          <w:tcPr>
            <w:tcW w:w="57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b/>
                <w:bCs/>
                <w:color w:val="333333"/>
                <w:sz w:val="24"/>
                <w:szCs w:val="24"/>
                <w:lang w:eastAsia="tr-TR"/>
              </w:rPr>
              <w:t>İktisat Ana Bilim Dalı Yönetim Ekonomisi Tezsiz Yüksek Lisans II. Öğretim Programı</w:t>
            </w:r>
          </w:p>
        </w:tc>
        <w:tc>
          <w:tcPr>
            <w:tcW w:w="16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color w:val="333333"/>
                <w:sz w:val="24"/>
                <w:szCs w:val="24"/>
                <w:lang w:eastAsia="tr-TR"/>
              </w:rPr>
              <w:t>50</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color w:val="333333"/>
                <w:sz w:val="24"/>
                <w:szCs w:val="24"/>
                <w:lang w:eastAsia="tr-TR"/>
              </w:rPr>
              <w:t>55</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5061" w:rsidRPr="00715061" w:rsidRDefault="00715061" w:rsidP="00715061">
            <w:pPr>
              <w:spacing w:before="100" w:beforeAutospacing="1" w:after="100" w:afterAutospacing="1" w:line="255" w:lineRule="atLeast"/>
              <w:jc w:val="center"/>
              <w:rPr>
                <w:rFonts w:ascii="Times New Roman" w:eastAsia="Times New Roman" w:hAnsi="Times New Roman" w:cs="Times New Roman"/>
                <w:color w:val="333333"/>
                <w:sz w:val="24"/>
                <w:szCs w:val="24"/>
                <w:lang w:eastAsia="tr-TR"/>
              </w:rPr>
            </w:pPr>
            <w:r w:rsidRPr="00715061">
              <w:rPr>
                <w:rFonts w:ascii="Times New Roman" w:eastAsia="Times New Roman" w:hAnsi="Times New Roman" w:cs="Times New Roman"/>
                <w:color w:val="333333"/>
                <w:sz w:val="24"/>
                <w:szCs w:val="24"/>
                <w:lang w:eastAsia="tr-TR"/>
              </w:rPr>
              <w:t>Eşit Ağırlık</w:t>
            </w:r>
          </w:p>
        </w:tc>
      </w:tr>
    </w:tbl>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u w:val="single"/>
          <w:lang w:eastAsia="tr-TR"/>
        </w:rPr>
        <w:t>BAŞVURU ŞARTLARI VE AÇIKLAMALAR</w:t>
      </w:r>
    </w:p>
    <w:p w:rsidR="00715061" w:rsidRPr="00715061" w:rsidRDefault="00715061" w:rsidP="00715061">
      <w:pPr>
        <w:shd w:val="clear" w:color="auto" w:fill="FFFFFF"/>
        <w:spacing w:before="100" w:beforeAutospacing="1" w:after="100" w:afterAutospacing="1" w:line="240" w:lineRule="auto"/>
        <w:jc w:val="both"/>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Sosyal Bilimler Enstitüsü başvuruları </w:t>
      </w:r>
      <w:r w:rsidRPr="00715061">
        <w:rPr>
          <w:rFonts w:ascii="Arial" w:eastAsia="Times New Roman" w:hAnsi="Arial" w:cs="Arial"/>
          <w:b/>
          <w:bCs/>
          <w:color w:val="333333"/>
          <w:sz w:val="24"/>
          <w:szCs w:val="24"/>
          <w:lang w:eastAsia="tr-TR"/>
        </w:rPr>
        <w:t>06.01.2014-17.01.2014 </w:t>
      </w:r>
      <w:r w:rsidRPr="00715061">
        <w:rPr>
          <w:rFonts w:ascii="Arial" w:eastAsia="Times New Roman" w:hAnsi="Arial" w:cs="Arial"/>
          <w:color w:val="333333"/>
          <w:sz w:val="24"/>
          <w:szCs w:val="24"/>
          <w:lang w:eastAsia="tr-TR"/>
        </w:rPr>
        <w:t>tarihleri arasında yapılacaktır.</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1.Başvuru dilekçesi ve özgeçmiş,</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2. Nüfus cüzdanı fotokopisi,</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3. Lisans diplomasının fotokopisi,</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4. Transkriptin fotokopisi,</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5. ALES belgesinin fotokopisi,</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6. Bir adet vesikalık fotoğraf</w:t>
      </w:r>
    </w:p>
    <w:p w:rsidR="00715061" w:rsidRPr="00715061" w:rsidRDefault="00715061" w:rsidP="00715061">
      <w:pPr>
        <w:shd w:val="clear" w:color="auto" w:fill="FFFFFF"/>
        <w:spacing w:before="100" w:beforeAutospacing="1" w:after="100" w:afterAutospacing="1" w:line="240" w:lineRule="auto"/>
        <w:ind w:left="170" w:hanging="17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7. Adaylar bu belgelerin asıllarıyla birlikte başvuracak, kontrol edilip fotokopileri alındıktan sonra asılları adaylara iade edilecektir. Kazanan adaylar; kesin kayıt sırasında transkript, diploma, üç adet vesikalık fotoğraf, nüfus cüzdan fotokopisi ve </w:t>
      </w:r>
      <w:r w:rsidRPr="00715061">
        <w:rPr>
          <w:rFonts w:ascii="Arial" w:eastAsia="Times New Roman" w:hAnsi="Arial" w:cs="Arial"/>
          <w:b/>
          <w:bCs/>
          <w:color w:val="333333"/>
          <w:sz w:val="24"/>
          <w:szCs w:val="24"/>
          <w:lang w:eastAsia="tr-TR"/>
        </w:rPr>
        <w:t>askerlik belgesinin asıllarını</w:t>
      </w:r>
      <w:r w:rsidRPr="00715061">
        <w:rPr>
          <w:rFonts w:ascii="Arial" w:eastAsia="Times New Roman" w:hAnsi="Arial" w:cs="Arial"/>
          <w:color w:val="333333"/>
          <w:sz w:val="24"/>
          <w:szCs w:val="24"/>
          <w:lang w:eastAsia="tr-TR"/>
        </w:rPr>
        <w:t> vermek zorundadırlar.</w:t>
      </w:r>
    </w:p>
    <w:p w:rsidR="00715061" w:rsidRPr="00715061" w:rsidRDefault="00715061" w:rsidP="00715061">
      <w:pPr>
        <w:shd w:val="clear" w:color="auto" w:fill="FFFFFF"/>
        <w:spacing w:before="100" w:beforeAutospacing="1" w:after="100" w:afterAutospacing="1" w:line="240" w:lineRule="auto"/>
        <w:ind w:left="283"/>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lastRenderedPageBreak/>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Tezsiz yüksek lisans programlarında; ALES puanının % 60’ı, lisans mezuniyet notunun % 40’ı alınıp aritmetik ortalamaları bulunduktan sonra elde edilen puanlara göre, adaylar en yüksek olandan başlamak üzere sıralanacak, ilan edilen kontenjan kadar asıl ve yedek aday belirlenecektir. Eşitlik halinde ALES notu yüksek olan adaya öncelik verilecektir.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Not birimleri harfli ve dörtlük sisteme göre düzenlenmiş ise başvuranlarda eşitlik olması açısından YÖK Dönüşüm Tablosu kullanılacaktır.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Sonuçlar </w:t>
      </w:r>
      <w:r w:rsidRPr="00715061">
        <w:rPr>
          <w:rFonts w:ascii="Arial" w:eastAsia="Times New Roman" w:hAnsi="Arial" w:cs="Arial"/>
          <w:b/>
          <w:bCs/>
          <w:color w:val="333333"/>
          <w:sz w:val="24"/>
          <w:szCs w:val="24"/>
          <w:lang w:eastAsia="tr-TR"/>
        </w:rPr>
        <w:t>20.01.2014</w:t>
      </w:r>
      <w:r w:rsidRPr="00715061">
        <w:rPr>
          <w:rFonts w:ascii="Arial" w:eastAsia="Times New Roman" w:hAnsi="Arial" w:cs="Arial"/>
          <w:color w:val="333333"/>
          <w:sz w:val="24"/>
          <w:szCs w:val="24"/>
          <w:lang w:eastAsia="tr-TR"/>
        </w:rPr>
        <w:t> tarihinde Üniversitemiz ana sayfasından duyurulacaktır.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Kazanan adayların kesin kayıtları ve ders kayıtları </w:t>
      </w:r>
      <w:r w:rsidRPr="00715061">
        <w:rPr>
          <w:rFonts w:ascii="Arial" w:eastAsia="Times New Roman" w:hAnsi="Arial" w:cs="Arial"/>
          <w:b/>
          <w:bCs/>
          <w:color w:val="333333"/>
          <w:sz w:val="24"/>
          <w:szCs w:val="24"/>
          <w:lang w:eastAsia="tr-TR"/>
        </w:rPr>
        <w:t>10.02.2014-14.02.2014</w:t>
      </w:r>
      <w:r w:rsidRPr="00715061">
        <w:rPr>
          <w:rFonts w:ascii="Arial" w:eastAsia="Times New Roman" w:hAnsi="Arial" w:cs="Arial"/>
          <w:color w:val="333333"/>
          <w:sz w:val="24"/>
          <w:szCs w:val="24"/>
          <w:lang w:eastAsia="tr-TR"/>
        </w:rPr>
        <w:t> tarihleri arasında yapılacak ve</w:t>
      </w:r>
      <w:r w:rsidRPr="00715061">
        <w:rPr>
          <w:rFonts w:ascii="Arial" w:eastAsia="Times New Roman" w:hAnsi="Arial" w:cs="Arial"/>
          <w:b/>
          <w:bCs/>
          <w:color w:val="333333"/>
          <w:sz w:val="24"/>
          <w:szCs w:val="24"/>
          <w:lang w:eastAsia="tr-TR"/>
        </w:rPr>
        <w:t>17.02. 2014</w:t>
      </w:r>
      <w:r w:rsidRPr="00715061">
        <w:rPr>
          <w:rFonts w:ascii="Arial" w:eastAsia="Times New Roman" w:hAnsi="Arial" w:cs="Arial"/>
          <w:color w:val="333333"/>
          <w:sz w:val="24"/>
          <w:szCs w:val="24"/>
          <w:lang w:eastAsia="tr-TR"/>
        </w:rPr>
        <w:t> tarihinde eğitime başlanacaktır. Boş kalan kontenjanların ilanı </w:t>
      </w:r>
      <w:r w:rsidRPr="00715061">
        <w:rPr>
          <w:rFonts w:ascii="Arial" w:eastAsia="Times New Roman" w:hAnsi="Arial" w:cs="Arial"/>
          <w:b/>
          <w:bCs/>
          <w:color w:val="333333"/>
          <w:sz w:val="24"/>
          <w:szCs w:val="24"/>
          <w:lang w:eastAsia="tr-TR"/>
        </w:rPr>
        <w:t>17.02.2013</w:t>
      </w:r>
      <w:r w:rsidRPr="00715061">
        <w:rPr>
          <w:rFonts w:ascii="Arial" w:eastAsia="Times New Roman" w:hAnsi="Arial" w:cs="Arial"/>
          <w:color w:val="333333"/>
          <w:sz w:val="24"/>
          <w:szCs w:val="24"/>
          <w:lang w:eastAsia="tr-TR"/>
        </w:rPr>
        <w:t>, boş kalan kontenjanlara girmeye hak kazanan adayların kayıtları </w:t>
      </w:r>
      <w:r w:rsidRPr="00715061">
        <w:rPr>
          <w:rFonts w:ascii="Arial" w:eastAsia="Times New Roman" w:hAnsi="Arial" w:cs="Arial"/>
          <w:b/>
          <w:bCs/>
          <w:color w:val="333333"/>
          <w:sz w:val="24"/>
          <w:szCs w:val="24"/>
          <w:lang w:eastAsia="tr-TR"/>
        </w:rPr>
        <w:t>24.02.2014-25.02.2014</w:t>
      </w:r>
      <w:r w:rsidRPr="00715061">
        <w:rPr>
          <w:rFonts w:ascii="Arial" w:eastAsia="Times New Roman" w:hAnsi="Arial" w:cs="Arial"/>
          <w:color w:val="333333"/>
          <w:sz w:val="24"/>
          <w:szCs w:val="24"/>
          <w:lang w:eastAsia="tr-TR"/>
        </w:rPr>
        <w:t> tarihlerinde yapılacaktır.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Kazanamayan adayların müracaat sırasında verdiği evrakların fotokopileri iade edilmeyecek, imha edilecektir.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Adayların şahsen veya noter vekâleti ile başvurusu zorunludur. Posta ile yapılan başvurular kabul edilmez. Eksik evrakla başvuru kesinlikle kabul edilmeyecektir.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II. Öğretim harç ücreti toplam 3.750 TL olup her dönem 1.250 TL olarak 3 eşit taksitle ödeme yapılabilir.</w:t>
      </w:r>
    </w:p>
    <w:p w:rsidR="00715061" w:rsidRPr="00715061" w:rsidRDefault="00715061" w:rsidP="00715061">
      <w:pPr>
        <w:shd w:val="clear" w:color="auto" w:fill="FFFFFF"/>
        <w:spacing w:before="100" w:beforeAutospacing="1" w:after="100" w:afterAutospacing="1" w:line="240" w:lineRule="auto"/>
        <w:ind w:left="284" w:hanging="360"/>
        <w:rPr>
          <w:rFonts w:ascii="Arial" w:eastAsia="Times New Roman" w:hAnsi="Arial" w:cs="Arial"/>
          <w:color w:val="333333"/>
          <w:sz w:val="18"/>
          <w:szCs w:val="18"/>
          <w:lang w:eastAsia="tr-TR"/>
        </w:rPr>
      </w:pPr>
      <w:r w:rsidRPr="00715061">
        <w:rPr>
          <w:rFonts w:ascii="Symbol" w:eastAsia="Times New Roman" w:hAnsi="Symbol" w:cs="Arial"/>
          <w:color w:val="333333"/>
          <w:sz w:val="24"/>
          <w:szCs w:val="24"/>
          <w:lang w:eastAsia="tr-TR"/>
        </w:rPr>
        <w:t></w:t>
      </w:r>
      <w:r w:rsidRPr="00715061">
        <w:rPr>
          <w:rFonts w:ascii="Times New Roman" w:eastAsia="Times New Roman" w:hAnsi="Times New Roman" w:cs="Times New Roman"/>
          <w:color w:val="333333"/>
          <w:sz w:val="14"/>
          <w:szCs w:val="14"/>
          <w:lang w:eastAsia="tr-TR"/>
        </w:rPr>
        <w:t>         </w:t>
      </w:r>
      <w:r w:rsidRPr="00715061">
        <w:rPr>
          <w:rFonts w:ascii="Arial" w:eastAsia="Times New Roman" w:hAnsi="Arial" w:cs="Arial"/>
          <w:color w:val="333333"/>
          <w:sz w:val="24"/>
          <w:szCs w:val="24"/>
          <w:lang w:eastAsia="tr-TR"/>
        </w:rPr>
        <w:t xml:space="preserve">Kazanan adaylardan kesin kayıt yapacak olanların II. Öğretim harç ücreti Türkiye Vakıflar Bankası IBAN:TR490001500158007296809413 </w:t>
      </w:r>
      <w:proofErr w:type="spellStart"/>
      <w:r w:rsidRPr="00715061">
        <w:rPr>
          <w:rFonts w:ascii="Arial" w:eastAsia="Times New Roman" w:hAnsi="Arial" w:cs="Arial"/>
          <w:color w:val="333333"/>
          <w:sz w:val="24"/>
          <w:szCs w:val="24"/>
          <w:lang w:eastAsia="tr-TR"/>
        </w:rPr>
        <w:t>nolu</w:t>
      </w:r>
      <w:proofErr w:type="spellEnd"/>
      <w:r w:rsidRPr="00715061">
        <w:rPr>
          <w:rFonts w:ascii="Arial" w:eastAsia="Times New Roman" w:hAnsi="Arial" w:cs="Arial"/>
          <w:color w:val="333333"/>
          <w:sz w:val="24"/>
          <w:szCs w:val="24"/>
          <w:lang w:eastAsia="tr-TR"/>
        </w:rPr>
        <w:t xml:space="preserve"> hesaba yatırılacaktır.</w:t>
      </w:r>
    </w:p>
    <w:p w:rsidR="00715061" w:rsidRPr="00715061" w:rsidRDefault="00715061" w:rsidP="00715061">
      <w:pPr>
        <w:shd w:val="clear" w:color="auto" w:fill="FFFFFF"/>
        <w:spacing w:before="100" w:beforeAutospacing="1" w:after="100" w:afterAutospacing="1" w:line="240" w:lineRule="auto"/>
        <w:ind w:left="720"/>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lang w:eastAsia="tr-TR"/>
        </w:rPr>
        <w:t>NOT: Programa 40 öğrenciden az kayıt yapılması durumunda program açılmayacaktır.</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color w:val="333333"/>
          <w:sz w:val="24"/>
          <w:szCs w:val="24"/>
          <w:lang w:eastAsia="tr-TR"/>
        </w:rPr>
        <w:t> </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u w:val="single"/>
          <w:lang w:eastAsia="tr-TR"/>
        </w:rPr>
        <w:t>BAŞVURU ADRESİ:</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lang w:eastAsia="tr-TR"/>
        </w:rPr>
        <w:t>Tunceli Üniversitesi Sosyal Bilimler Enstitüsü</w:t>
      </w:r>
    </w:p>
    <w:p w:rsidR="00715061" w:rsidRPr="00715061" w:rsidRDefault="00715061" w:rsidP="00715061">
      <w:pPr>
        <w:shd w:val="clear" w:color="auto" w:fill="FFFFFF"/>
        <w:spacing w:before="100" w:beforeAutospacing="1" w:after="100" w:afterAutospacing="1" w:line="240" w:lineRule="auto"/>
        <w:rPr>
          <w:rFonts w:ascii="Arial" w:eastAsia="Times New Roman" w:hAnsi="Arial" w:cs="Arial"/>
          <w:color w:val="333333"/>
          <w:sz w:val="18"/>
          <w:szCs w:val="18"/>
          <w:lang w:eastAsia="tr-TR"/>
        </w:rPr>
      </w:pPr>
      <w:r w:rsidRPr="00715061">
        <w:rPr>
          <w:rFonts w:ascii="Arial" w:eastAsia="Times New Roman" w:hAnsi="Arial" w:cs="Arial"/>
          <w:b/>
          <w:bCs/>
          <w:color w:val="333333"/>
          <w:sz w:val="24"/>
          <w:szCs w:val="24"/>
          <w:lang w:eastAsia="tr-TR"/>
        </w:rPr>
        <w:t>TEL: 0 (428) 213 17 94</w:t>
      </w:r>
    </w:p>
    <w:p w:rsidR="00992C30" w:rsidRDefault="00992C30">
      <w:bookmarkStart w:id="0" w:name="_GoBack"/>
      <w:bookmarkEnd w:id="0"/>
    </w:p>
    <w:sectPr w:rsidR="0099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61"/>
    <w:rsid w:val="00715061"/>
    <w:rsid w:val="00992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5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061"/>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7150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15061"/>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5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5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061"/>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7150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15061"/>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1</cp:revision>
  <dcterms:created xsi:type="dcterms:W3CDTF">2014-01-06T12:42:00Z</dcterms:created>
  <dcterms:modified xsi:type="dcterms:W3CDTF">2014-01-06T12:43:00Z</dcterms:modified>
</cp:coreProperties>
</file>